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6444" w14:textId="164D1A4F" w:rsidR="00B435B5" w:rsidRPr="00B435B5" w:rsidRDefault="00B435B5" w:rsidP="00E862EE">
      <w:pPr>
        <w:jc w:val="center"/>
        <w:rPr>
          <w:rFonts w:asciiTheme="minorHAnsi" w:hAnsiTheme="minorHAnsi"/>
          <w:b/>
          <w:lang w:val="ka-GE"/>
        </w:rPr>
      </w:pPr>
      <w:r>
        <w:rPr>
          <w:rFonts w:asciiTheme="minorHAnsi" w:hAnsiTheme="minorHAnsi"/>
          <w:b/>
          <w:lang w:val="ka-GE"/>
        </w:rPr>
        <w:t>განათლების ადმინისტრირება (ინგლისურენოვანი)</w:t>
      </w:r>
    </w:p>
    <w:p w14:paraId="51880F17" w14:textId="77777777" w:rsidR="001F7D37" w:rsidRPr="00E862EE" w:rsidRDefault="001F7D37">
      <w:pPr>
        <w:rPr>
          <w:b/>
          <w:highlight w:val="green"/>
        </w:rPr>
      </w:pPr>
    </w:p>
    <w:p w14:paraId="75853B61" w14:textId="1B83BAF4" w:rsidR="00393156" w:rsidRDefault="00393156">
      <w:pPr>
        <w:rPr>
          <w:b/>
        </w:rPr>
      </w:pPr>
    </w:p>
    <w:p w14:paraId="126E3181" w14:textId="5343BA3E" w:rsidR="00B435B5" w:rsidRPr="00B435B5" w:rsidRDefault="0015526B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 w:rsidRPr="00B435B5">
        <w:rPr>
          <w:rFonts w:asciiTheme="minorHAnsi" w:hAnsiTheme="minorHAnsi"/>
          <w:lang w:val="ka-GE"/>
        </w:rPr>
        <w:t>პროგრამის სტრუქტურა</w:t>
      </w:r>
      <w:r w:rsidR="00B435B5" w:rsidRPr="00B435B5">
        <w:rPr>
          <w:rFonts w:asciiTheme="minorHAnsi" w:hAnsiTheme="minorHAnsi"/>
          <w:lang w:val="ka-GE"/>
        </w:rPr>
        <w:t xml:space="preserve"> </w:t>
      </w:r>
    </w:p>
    <w:p w14:paraId="10B2AA4B" w14:textId="138947BE" w:rsidR="00B435B5" w:rsidRPr="00496E51" w:rsidRDefault="00B435B5" w:rsidP="00496E51">
      <w:pPr>
        <w:pStyle w:val="a4"/>
        <w:numPr>
          <w:ilvl w:val="0"/>
          <w:numId w:val="0"/>
        </w:numPr>
        <w:ind w:left="1440"/>
        <w:rPr>
          <w:rFonts w:asciiTheme="minorHAnsi" w:hAnsiTheme="minorHAnsi"/>
          <w:b w:val="0"/>
          <w:lang w:val="ka-GE"/>
        </w:rPr>
      </w:pPr>
      <w:r w:rsidRPr="00B435B5">
        <w:rPr>
          <w:rFonts w:asciiTheme="minorHAnsi" w:hAnsiTheme="minorHAnsi"/>
          <w:b w:val="0"/>
          <w:lang w:val="ka-GE"/>
        </w:rPr>
        <w:t xml:space="preserve">სასწავლო კურსების უმეტესობა სავალდებულოა (60 კრედიტი), მესამე სემესტრში გათვალისწინებულია სავალდებულო პრაქტიკა უმაღლეს/პროფესიულ/ზოგადსაგანმანათლებლო დაწესებულებაში (6 კრედიტი), ცხრა სასწავლო კურსი არჩევითია (სტუდენტი იღებს 24 კრედიტს). სამაგისტრო პროგრამის მე-4 სემესტრში სტუდენტი წერს და იცავს სამაგისტრო ნაშრომს, რომელსაც ეთმობა 30 კრედიტი. </w:t>
      </w:r>
    </w:p>
    <w:p w14:paraId="11AD301F" w14:textId="77777777" w:rsidR="00DB1163" w:rsidRPr="00DB1163" w:rsidRDefault="00DB1163" w:rsidP="00DB1163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 w:rsidRPr="00DB1163">
        <w:rPr>
          <w:rFonts w:asciiTheme="minorHAnsi" w:hAnsiTheme="minorHAnsi"/>
          <w:lang w:val="ka-GE"/>
        </w:rPr>
        <w:t>სასწავლო კურსები</w:t>
      </w:r>
    </w:p>
    <w:p w14:paraId="3C1BE24A" w14:textId="77777777" w:rsidR="00DB1163" w:rsidRDefault="00DB1163" w:rsidP="00DB1163">
      <w:pPr>
        <w:rPr>
          <w:b/>
          <w:highlight w:val="yellow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835"/>
        <w:gridCol w:w="1170"/>
        <w:gridCol w:w="1170"/>
      </w:tblGrid>
      <w:tr w:rsidR="007539F4" w:rsidRPr="00DB1163" w14:paraId="63261CD3" w14:textId="77777777" w:rsidTr="007539F4">
        <w:tc>
          <w:tcPr>
            <w:tcW w:w="6835" w:type="dxa"/>
          </w:tcPr>
          <w:p w14:paraId="14C5003C" w14:textId="77777777" w:rsidR="007539F4" w:rsidRPr="00DB1163" w:rsidRDefault="007539F4" w:rsidP="00EF4670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DB1163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კურსის დასახელება</w:t>
            </w:r>
          </w:p>
        </w:tc>
        <w:tc>
          <w:tcPr>
            <w:tcW w:w="1170" w:type="dxa"/>
          </w:tcPr>
          <w:p w14:paraId="78414F2D" w14:textId="0114BDFC" w:rsidR="007539F4" w:rsidRPr="007539F4" w:rsidRDefault="007539F4" w:rsidP="00EF4670">
            <w:pPr>
              <w:jc w:val="center"/>
              <w:rPr>
                <w:rFonts w:ascii="Sylfaen" w:hAnsi="Sylfaen" w:cstheme="minorHAnsi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theme="minorHAnsi"/>
                <w:b/>
                <w:sz w:val="22"/>
                <w:szCs w:val="22"/>
                <w:lang w:val="ka-GE"/>
              </w:rPr>
              <w:t>სემესტრი</w:t>
            </w:r>
          </w:p>
        </w:tc>
        <w:tc>
          <w:tcPr>
            <w:tcW w:w="1170" w:type="dxa"/>
          </w:tcPr>
          <w:p w14:paraId="64A6BEFC" w14:textId="3F13DE3B" w:rsidR="007539F4" w:rsidRPr="00DB1163" w:rsidRDefault="007539F4" w:rsidP="00EF46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</w:pPr>
            <w:r w:rsidRPr="00DB1163">
              <w:rPr>
                <w:rFonts w:asciiTheme="minorHAnsi" w:hAnsiTheme="minorHAnsi" w:cstheme="minorHAnsi"/>
                <w:b/>
                <w:sz w:val="22"/>
                <w:szCs w:val="22"/>
                <w:lang w:val="ka-GE"/>
              </w:rPr>
              <w:t>კრედიტი</w:t>
            </w:r>
          </w:p>
        </w:tc>
      </w:tr>
      <w:tr w:rsidR="007539F4" w:rsidRPr="00DB1163" w14:paraId="7299546C" w14:textId="77777777" w:rsidTr="007539F4">
        <w:tc>
          <w:tcPr>
            <w:tcW w:w="6835" w:type="dxa"/>
          </w:tcPr>
          <w:p w14:paraId="4AA84719" w14:textId="30F3C7B4" w:rsidR="007539F4" w:rsidRPr="00AE4BE2" w:rsidRDefault="007539F4" w:rsidP="00EF4670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AE4BE2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სავალდებულო კომპონენტი</w:t>
            </w:r>
          </w:p>
        </w:tc>
        <w:tc>
          <w:tcPr>
            <w:tcW w:w="1170" w:type="dxa"/>
          </w:tcPr>
          <w:p w14:paraId="741614CA" w14:textId="13C9280B" w:rsidR="007539F4" w:rsidRPr="007539F4" w:rsidRDefault="007539F4" w:rsidP="00EF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34BC69EB" w14:textId="7C877811" w:rsidR="007539F4" w:rsidRPr="00AE4BE2" w:rsidRDefault="007539F4" w:rsidP="00EF467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60</w:t>
            </w:r>
          </w:p>
        </w:tc>
      </w:tr>
      <w:tr w:rsidR="007539F4" w:rsidRPr="00DB1163" w14:paraId="4D56946C" w14:textId="77777777" w:rsidTr="007539F4">
        <w:tc>
          <w:tcPr>
            <w:tcW w:w="6835" w:type="dxa"/>
          </w:tcPr>
          <w:p w14:paraId="482CB713" w14:textId="2D0229A9" w:rsidR="007539F4" w:rsidRPr="004A560F" w:rsidRDefault="007539F4" w:rsidP="007539F4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სფეროს კვლევის მეთოდები</w:t>
            </w:r>
          </w:p>
        </w:tc>
        <w:tc>
          <w:tcPr>
            <w:tcW w:w="1170" w:type="dxa"/>
          </w:tcPr>
          <w:p w14:paraId="443E90B9" w14:textId="0BEA9A38" w:rsidR="007539F4" w:rsidRPr="00AE4BE2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B00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7678275F" w14:textId="0E2889E3" w:rsidR="007539F4" w:rsidRPr="00AE4BE2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AE4BE2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10</w:t>
            </w:r>
          </w:p>
        </w:tc>
      </w:tr>
      <w:tr w:rsidR="007539F4" w:rsidRPr="00DB1163" w14:paraId="3A793A3E" w14:textId="77777777" w:rsidTr="007539F4">
        <w:tc>
          <w:tcPr>
            <w:tcW w:w="6835" w:type="dxa"/>
          </w:tcPr>
          <w:p w14:paraId="0D88CF06" w14:textId="612C9AD9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ადმინისტრირება</w:t>
            </w:r>
          </w:p>
        </w:tc>
        <w:tc>
          <w:tcPr>
            <w:tcW w:w="1170" w:type="dxa"/>
          </w:tcPr>
          <w:p w14:paraId="328EC63C" w14:textId="422B17FB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2B002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547AE036" w14:textId="2F42D915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9</w:t>
            </w:r>
          </w:p>
        </w:tc>
      </w:tr>
      <w:tr w:rsidR="007539F4" w:rsidRPr="00DB1163" w14:paraId="16CB1358" w14:textId="77777777" w:rsidTr="007539F4">
        <w:tc>
          <w:tcPr>
            <w:tcW w:w="6835" w:type="dxa"/>
          </w:tcPr>
          <w:p w14:paraId="4E78D383" w14:textId="53E4B114" w:rsidR="007539F4" w:rsidRPr="004A560F" w:rsidRDefault="007539F4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ხარისხის უზრუნველყოფა განათლებაში</w:t>
            </w:r>
          </w:p>
        </w:tc>
        <w:tc>
          <w:tcPr>
            <w:tcW w:w="1170" w:type="dxa"/>
          </w:tcPr>
          <w:p w14:paraId="001B5FDF" w14:textId="67897A17" w:rsidR="007539F4" w:rsidRPr="007539F4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0C573012" w14:textId="2A57A9D7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9</w:t>
            </w:r>
          </w:p>
        </w:tc>
      </w:tr>
      <w:tr w:rsidR="007539F4" w:rsidRPr="00DB1163" w14:paraId="3835611A" w14:textId="77777777" w:rsidTr="007539F4">
        <w:tc>
          <w:tcPr>
            <w:tcW w:w="6835" w:type="dxa"/>
          </w:tcPr>
          <w:p w14:paraId="07B1DCA8" w14:textId="29315870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ლიდერობა</w:t>
            </w:r>
          </w:p>
        </w:tc>
        <w:tc>
          <w:tcPr>
            <w:tcW w:w="1170" w:type="dxa"/>
          </w:tcPr>
          <w:p w14:paraId="7E0C348E" w14:textId="36A45E9C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4D6AC9A9" w14:textId="35399B6B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7539F4" w:rsidRPr="00DB1163" w14:paraId="35C7DD75" w14:textId="77777777" w:rsidTr="007539F4">
        <w:tc>
          <w:tcPr>
            <w:tcW w:w="6835" w:type="dxa"/>
          </w:tcPr>
          <w:p w14:paraId="13E2FAF2" w14:textId="62013994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განათლება</w:t>
            </w:r>
          </w:p>
        </w:tc>
        <w:tc>
          <w:tcPr>
            <w:tcW w:w="1170" w:type="dxa"/>
          </w:tcPr>
          <w:p w14:paraId="538091C9" w14:textId="5ACE4F33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05C1D0E3" w14:textId="35492E43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7539F4" w:rsidRPr="00DB1163" w14:paraId="17BC52AA" w14:textId="77777777" w:rsidTr="007539F4">
        <w:tc>
          <w:tcPr>
            <w:tcW w:w="6835" w:type="dxa"/>
          </w:tcPr>
          <w:p w14:paraId="4F879EE7" w14:textId="08D48C5D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სისტემის საკანონმდებლო ბაზა</w:t>
            </w:r>
          </w:p>
        </w:tc>
        <w:tc>
          <w:tcPr>
            <w:tcW w:w="1170" w:type="dxa"/>
          </w:tcPr>
          <w:p w14:paraId="07253D3E" w14:textId="37C15123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20E7F61C" w14:textId="0665B6DF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7539F4" w:rsidRPr="00DB1163" w14:paraId="1BA9DEC4" w14:textId="77777777" w:rsidTr="007539F4">
        <w:tc>
          <w:tcPr>
            <w:tcW w:w="6835" w:type="dxa"/>
          </w:tcPr>
          <w:p w14:paraId="55D0FF45" w14:textId="798E0A81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ფინანსური მენეჯმენტი</w:t>
            </w:r>
          </w:p>
        </w:tc>
        <w:tc>
          <w:tcPr>
            <w:tcW w:w="1170" w:type="dxa"/>
          </w:tcPr>
          <w:p w14:paraId="50BC76ED" w14:textId="0E527DFD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122FF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</w:tcPr>
          <w:p w14:paraId="4DDDD208" w14:textId="3AAB17CA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752A761D" w14:textId="77777777" w:rsidTr="007539F4">
        <w:tc>
          <w:tcPr>
            <w:tcW w:w="6835" w:type="dxa"/>
          </w:tcPr>
          <w:p w14:paraId="5ED3CA10" w14:textId="5D9C3EF8" w:rsidR="007539F4" w:rsidRPr="004A560F" w:rsidRDefault="007539F4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1170" w:type="dxa"/>
          </w:tcPr>
          <w:p w14:paraId="39796570" w14:textId="050F22E6" w:rsidR="007539F4" w:rsidRPr="007539F4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DFB9EE0" w14:textId="692B3411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</w:tr>
      <w:tr w:rsidR="007539F4" w:rsidRPr="00DB1163" w14:paraId="39247314" w14:textId="77777777" w:rsidTr="007539F4">
        <w:tc>
          <w:tcPr>
            <w:tcW w:w="6835" w:type="dxa"/>
          </w:tcPr>
          <w:p w14:paraId="7902243A" w14:textId="3C134EE8" w:rsidR="007539F4" w:rsidRPr="00C62EA5" w:rsidRDefault="007539F4" w:rsidP="004A560F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C62EA5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არჩევითი კომპონენტი</w:t>
            </w:r>
          </w:p>
        </w:tc>
        <w:tc>
          <w:tcPr>
            <w:tcW w:w="1170" w:type="dxa"/>
          </w:tcPr>
          <w:p w14:paraId="775C01FE" w14:textId="77777777" w:rsidR="007539F4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6234C246" w14:textId="01355DCC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24</w:t>
            </w:r>
          </w:p>
        </w:tc>
      </w:tr>
      <w:tr w:rsidR="007539F4" w:rsidRPr="00DB1163" w14:paraId="75C968CF" w14:textId="77777777" w:rsidTr="007539F4">
        <w:tc>
          <w:tcPr>
            <w:tcW w:w="6835" w:type="dxa"/>
          </w:tcPr>
          <w:p w14:paraId="465FA7BF" w14:textId="7DD4CA98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ფსიქოლოგია</w:t>
            </w:r>
          </w:p>
        </w:tc>
        <w:tc>
          <w:tcPr>
            <w:tcW w:w="1170" w:type="dxa"/>
          </w:tcPr>
          <w:p w14:paraId="75954C8D" w14:textId="2685C781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5EB3304A" w14:textId="1FC577E5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0A0FBCF9" w14:textId="77777777" w:rsidTr="007539F4">
        <w:tc>
          <w:tcPr>
            <w:tcW w:w="6835" w:type="dxa"/>
          </w:tcPr>
          <w:p w14:paraId="60DBF013" w14:textId="57E666AF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ზრდასრულთა განათლება და ფსიქოლოგია</w:t>
            </w:r>
          </w:p>
        </w:tc>
        <w:tc>
          <w:tcPr>
            <w:tcW w:w="1170" w:type="dxa"/>
          </w:tcPr>
          <w:p w14:paraId="46E8EE7B" w14:textId="7543791A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095F818" w14:textId="7BA6BE8C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34215031" w14:textId="77777777" w:rsidTr="007539F4">
        <w:tc>
          <w:tcPr>
            <w:tcW w:w="6835" w:type="dxa"/>
          </w:tcPr>
          <w:p w14:paraId="18D142F9" w14:textId="3719AA71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ისტორია</w:t>
            </w:r>
          </w:p>
        </w:tc>
        <w:tc>
          <w:tcPr>
            <w:tcW w:w="1170" w:type="dxa"/>
          </w:tcPr>
          <w:p w14:paraId="4F4B7D6C" w14:textId="3889C119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2F030BDF" w14:textId="7111B4A1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7FB1812E" w14:textId="77777777" w:rsidTr="007539F4">
        <w:tc>
          <w:tcPr>
            <w:tcW w:w="6835" w:type="dxa"/>
          </w:tcPr>
          <w:p w14:paraId="7D0E2EFB" w14:textId="36C586AF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შეფასების მეთოდები განათლებაში</w:t>
            </w:r>
          </w:p>
        </w:tc>
        <w:tc>
          <w:tcPr>
            <w:tcW w:w="1170" w:type="dxa"/>
          </w:tcPr>
          <w:p w14:paraId="057D0933" w14:textId="17C1B03B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242D4274" w14:textId="1E1778AB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4CCAA6F4" w14:textId="77777777" w:rsidTr="007539F4">
        <w:tc>
          <w:tcPr>
            <w:tcW w:w="6835" w:type="dxa"/>
          </w:tcPr>
          <w:p w14:paraId="57B5D099" w14:textId="3C853452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გლობალური განათლება</w:t>
            </w:r>
          </w:p>
        </w:tc>
        <w:tc>
          <w:tcPr>
            <w:tcW w:w="1170" w:type="dxa"/>
          </w:tcPr>
          <w:p w14:paraId="49A5DFD0" w14:textId="7C927A3B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5106667" w14:textId="28D68B2C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12071F6D" w14:textId="77777777" w:rsidTr="007539F4">
        <w:tc>
          <w:tcPr>
            <w:tcW w:w="6835" w:type="dxa"/>
          </w:tcPr>
          <w:p w14:paraId="1573B902" w14:textId="36976BA5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განათლების სოციოლოგია</w:t>
            </w:r>
          </w:p>
        </w:tc>
        <w:tc>
          <w:tcPr>
            <w:tcW w:w="1170" w:type="dxa"/>
          </w:tcPr>
          <w:p w14:paraId="2FE7845D" w14:textId="1A682F7C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138D3774" w14:textId="7B881DAE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5049FEF5" w14:textId="77777777" w:rsidTr="007539F4">
        <w:tc>
          <w:tcPr>
            <w:tcW w:w="6835" w:type="dxa"/>
          </w:tcPr>
          <w:p w14:paraId="364D4BB3" w14:textId="5B501A17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ადამიანური რესურსების მართვა განათლებაში </w:t>
            </w:r>
          </w:p>
        </w:tc>
        <w:tc>
          <w:tcPr>
            <w:tcW w:w="1170" w:type="dxa"/>
          </w:tcPr>
          <w:p w14:paraId="6FF996F0" w14:textId="29F259E0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4E5DE738" w14:textId="5FCDA9D7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45F8A8D2" w14:textId="77777777" w:rsidTr="007539F4">
        <w:tc>
          <w:tcPr>
            <w:tcW w:w="6835" w:type="dxa"/>
          </w:tcPr>
          <w:p w14:paraId="79349C3B" w14:textId="40A522E1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კულტურა და აკადემიური მიღწევები განათლებაში</w:t>
            </w:r>
          </w:p>
        </w:tc>
        <w:tc>
          <w:tcPr>
            <w:tcW w:w="1170" w:type="dxa"/>
          </w:tcPr>
          <w:p w14:paraId="55843A45" w14:textId="516EB832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725A83B5" w14:textId="55205C5D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6C7EE272" w14:textId="77777777" w:rsidTr="007539F4">
        <w:tc>
          <w:tcPr>
            <w:tcW w:w="6835" w:type="dxa"/>
          </w:tcPr>
          <w:p w14:paraId="7D313EDB" w14:textId="48C03A8C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კურიკულუმისა და სილაბუსის შემუშავება განათლებაში</w:t>
            </w:r>
          </w:p>
        </w:tc>
        <w:tc>
          <w:tcPr>
            <w:tcW w:w="1170" w:type="dxa"/>
          </w:tcPr>
          <w:p w14:paraId="6DA76CB8" w14:textId="1F9D3D7E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65454C4C" w14:textId="4CBC44C7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52E2225C" w14:textId="77777777" w:rsidTr="007539F4">
        <w:tc>
          <w:tcPr>
            <w:tcW w:w="6835" w:type="dxa"/>
          </w:tcPr>
          <w:p w14:paraId="5AC22F2A" w14:textId="39082D37" w:rsidR="007539F4" w:rsidRPr="004A560F" w:rsidRDefault="007539F4" w:rsidP="007539F4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ზოგადი და პროფესიული განათლების ადმინისტრირება და საკანონმდებლო დარეგულირება</w:t>
            </w:r>
          </w:p>
        </w:tc>
        <w:tc>
          <w:tcPr>
            <w:tcW w:w="1170" w:type="dxa"/>
          </w:tcPr>
          <w:p w14:paraId="41CB9F5A" w14:textId="6E4CD0C1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570B98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170" w:type="dxa"/>
          </w:tcPr>
          <w:p w14:paraId="669852EB" w14:textId="4B02B44C" w:rsidR="007539F4" w:rsidRPr="004A560F" w:rsidRDefault="007539F4" w:rsidP="007539F4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</w:tr>
      <w:tr w:rsidR="007539F4" w:rsidRPr="00DB1163" w14:paraId="45F2E759" w14:textId="77777777" w:rsidTr="007539F4">
        <w:tc>
          <w:tcPr>
            <w:tcW w:w="6835" w:type="dxa"/>
          </w:tcPr>
          <w:p w14:paraId="41C6DA5D" w14:textId="414DC24B" w:rsidR="007539F4" w:rsidRPr="00C62EA5" w:rsidRDefault="007539F4" w:rsidP="004A560F">
            <w:pPr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C62EA5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კვლევითი კომპონენტი</w:t>
            </w:r>
          </w:p>
        </w:tc>
        <w:tc>
          <w:tcPr>
            <w:tcW w:w="1170" w:type="dxa"/>
          </w:tcPr>
          <w:p w14:paraId="7901A23A" w14:textId="77777777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04B40811" w14:textId="3BAD0E12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30</w:t>
            </w:r>
          </w:p>
        </w:tc>
      </w:tr>
      <w:tr w:rsidR="007539F4" w:rsidRPr="00DB1163" w14:paraId="6E0DEA05" w14:textId="77777777" w:rsidTr="007539F4">
        <w:tc>
          <w:tcPr>
            <w:tcW w:w="6835" w:type="dxa"/>
          </w:tcPr>
          <w:p w14:paraId="51ED014D" w14:textId="19DCD7C4" w:rsidR="007539F4" w:rsidRPr="004A560F" w:rsidRDefault="007539F4" w:rsidP="004A560F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A560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1170" w:type="dxa"/>
          </w:tcPr>
          <w:p w14:paraId="3BD0D441" w14:textId="303B5832" w:rsidR="007539F4" w:rsidRPr="007539F4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170" w:type="dxa"/>
          </w:tcPr>
          <w:p w14:paraId="0C57D160" w14:textId="4EB9752B" w:rsidR="007539F4" w:rsidRPr="004A560F" w:rsidRDefault="007539F4" w:rsidP="00EF4670">
            <w:pP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</w:tbl>
    <w:p w14:paraId="6E52FB2D" w14:textId="788889A4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</w:p>
    <w:p w14:paraId="6ADEDE7F" w14:textId="6D116F46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სწავლის შედეგები</w:t>
      </w:r>
    </w:p>
    <w:p w14:paraId="29155735" w14:textId="32BF6532" w:rsidR="00B435B5" w:rsidRDefault="00B435B5" w:rsidP="00B435B5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</w:p>
    <w:p w14:paraId="75167707" w14:textId="0E1435E0" w:rsidR="00B435B5" w:rsidRPr="00B435B5" w:rsidRDefault="00B435B5" w:rsidP="00B435B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ka-GE"/>
        </w:rPr>
      </w:pPr>
      <w:r w:rsidRPr="00B435B5">
        <w:rPr>
          <w:rFonts w:asciiTheme="minorHAnsi" w:hAnsiTheme="minorHAnsi" w:cstheme="minorHAnsi"/>
          <w:lang w:val="ka-GE"/>
        </w:rPr>
        <w:t xml:space="preserve"> განათლებასთან და მის ადმინისტრირებასთან დაკავშირებული თეორიების ღრმა და სისტემური ცოდნა განათლების, დარგის ისტორიის, სისტემისა და რეფორმების ღრმა ცოდნა, საზოგადოებაში საგანმანათლებლო დაწესებულებების როლის</w:t>
      </w:r>
      <w:r w:rsidRPr="00B435B5">
        <w:rPr>
          <w:rFonts w:asciiTheme="minorHAnsi" w:hAnsiTheme="minorHAnsi" w:cstheme="minorHAnsi"/>
        </w:rPr>
        <w:t>,</w:t>
      </w:r>
      <w:r w:rsidRPr="00B435B5">
        <w:rPr>
          <w:rFonts w:asciiTheme="minorHAnsi" w:hAnsiTheme="minorHAnsi" w:cstheme="minorHAnsi"/>
          <w:lang w:val="ka-GE"/>
        </w:rPr>
        <w:t xml:space="preserve"> პასუხისმგემბლობისა და წვლილის გათვითცნობიერება;</w:t>
      </w:r>
    </w:p>
    <w:p w14:paraId="79E137B5" w14:textId="1ED5563C" w:rsidR="00B435B5" w:rsidRPr="00B435B5" w:rsidRDefault="00B435B5" w:rsidP="00B435B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ka-GE"/>
        </w:rPr>
      </w:pPr>
      <w:r w:rsidRPr="00B435B5">
        <w:rPr>
          <w:rFonts w:asciiTheme="minorHAnsi" w:hAnsiTheme="minorHAnsi" w:cstheme="minorHAnsi"/>
          <w:lang w:val="ka-GE"/>
        </w:rPr>
        <w:lastRenderedPageBreak/>
        <w:t xml:space="preserve"> განათლების ადმინისტრირების მიღებული პრინციპებისა და წარმატებული პრაქტიკის ღრმა და სისტემური ცოდნა, რომელიც განაპირობებს საერთაშორისო სტანდარტების დაწესებას განათლების სფეროს ეფექტური ადმინისტრირების მიზნით;</w:t>
      </w:r>
    </w:p>
    <w:p w14:paraId="502317CF" w14:textId="05BA42D5" w:rsidR="00B435B5" w:rsidRPr="00B435B5" w:rsidRDefault="00B435B5" w:rsidP="00B435B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ka-GE"/>
        </w:rPr>
      </w:pPr>
      <w:r w:rsidRPr="00B435B5">
        <w:rPr>
          <w:rFonts w:asciiTheme="minorHAnsi" w:hAnsiTheme="minorHAnsi" w:cstheme="minorHAnsi"/>
          <w:lang w:val="ka-GE"/>
        </w:rPr>
        <w:t xml:space="preserve"> იმ ძირითადი სირთულეების / გამოწვევების ცოდნა, რომელსაც ხვდებიან საგანმანათლებლო დაწესებულებები მოსწავლეთა/სტუდენტთა და თანამშრომელთა განვითარების გზაზე ადგილობრივი/ეროვნული საზოგადოებისა და ე. წ. სთეიქჰოლდერების (დაინტერესებული/ჩართული მხარეების) ინტერესების დასაკმაყოფილებლად</w:t>
      </w:r>
      <w:r w:rsidR="00F924EA">
        <w:rPr>
          <w:rFonts w:asciiTheme="minorHAnsi" w:hAnsiTheme="minorHAnsi" w:cstheme="minorHAnsi"/>
          <w:lang w:val="ka-GE"/>
        </w:rPr>
        <w:t>;</w:t>
      </w:r>
    </w:p>
    <w:p w14:paraId="55440809" w14:textId="7D2C9960" w:rsidR="00B435B5" w:rsidRPr="00B435B5" w:rsidRDefault="00B435B5" w:rsidP="00B435B5">
      <w:pPr>
        <w:pStyle w:val="abzacixml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B435B5">
        <w:rPr>
          <w:rFonts w:asciiTheme="minorHAnsi" w:hAnsiTheme="minorHAnsi" w:cstheme="minorHAnsi"/>
          <w:sz w:val="24"/>
          <w:szCs w:val="24"/>
          <w:lang w:val="ka-GE"/>
        </w:rPr>
        <w:t>უნარი ადეკვატურად გამოიყენოს უახლესი თეორიული ცოდნა მუშაობისას</w:t>
      </w:r>
      <w:r w:rsidRPr="00B435B5">
        <w:rPr>
          <w:rFonts w:asciiTheme="minorHAnsi" w:hAnsiTheme="minorHAnsi" w:cstheme="minorHAnsi"/>
          <w:sz w:val="24"/>
          <w:szCs w:val="24"/>
        </w:rPr>
        <w:t>,</w:t>
      </w:r>
      <w:r w:rsidRPr="00B435B5">
        <w:rPr>
          <w:rFonts w:asciiTheme="minorHAnsi" w:hAnsiTheme="minorHAnsi" w:cstheme="minorHAnsi"/>
          <w:sz w:val="24"/>
          <w:szCs w:val="24"/>
          <w:lang w:val="ka-GE"/>
        </w:rPr>
        <w:t xml:space="preserve"> ლიტერატურის ღრმა გაგებით კითხვისას  და კომპლექსური პრობლემების გადაჭრისას, ასევე უწყვეტი განათლების პროცესში, რათა წვლილი შეიტანოს პროფესიული პრაქტიკოსების საზოგადოების ჩამოყალიბებაში, იდეებისა და აქტივობების გაზიარების გზით</w:t>
      </w:r>
      <w:r w:rsidR="00F924EA">
        <w:rPr>
          <w:rFonts w:asciiTheme="minorHAnsi" w:hAnsiTheme="minorHAnsi" w:cstheme="minorHAnsi"/>
          <w:sz w:val="24"/>
          <w:szCs w:val="24"/>
          <w:lang w:val="ka-GE"/>
        </w:rPr>
        <w:t>;</w:t>
      </w:r>
      <w:r w:rsidRPr="00B435B5">
        <w:rPr>
          <w:rFonts w:asciiTheme="minorHAnsi" w:hAnsiTheme="minorHAnsi" w:cstheme="minorHAnsi"/>
          <w:sz w:val="24"/>
          <w:szCs w:val="24"/>
          <w:lang w:val="ka-GE"/>
        </w:rPr>
        <w:t xml:space="preserve">    </w:t>
      </w:r>
    </w:p>
    <w:p w14:paraId="2DF5217B" w14:textId="0537631B" w:rsidR="00B435B5" w:rsidRPr="00B435B5" w:rsidRDefault="00B435B5" w:rsidP="00B435B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ka-GE"/>
        </w:rPr>
      </w:pPr>
      <w:r w:rsidRPr="00B435B5">
        <w:rPr>
          <w:rFonts w:asciiTheme="minorHAnsi" w:hAnsiTheme="minorHAnsi" w:cstheme="minorHAnsi"/>
          <w:lang w:val="ka-GE"/>
        </w:rPr>
        <w:t xml:space="preserve">უნარი წვლილი შეიტანოს განათლების მოდერნიზაციაში მისი ადმინისტრირების პრინციპების ცოდნაზე, ლიდერობის, კომუნიკაციური და ჯგუფური მუშაობის უნარ-ჩვევებზე დაყრდნობით; </w:t>
      </w:r>
    </w:p>
    <w:p w14:paraId="52E1944E" w14:textId="5DF08891" w:rsidR="00F924EA" w:rsidRDefault="00B435B5" w:rsidP="00F924EA">
      <w:pPr>
        <w:pStyle w:val="abzacixml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B435B5">
        <w:rPr>
          <w:rFonts w:asciiTheme="minorHAnsi" w:hAnsiTheme="minorHAnsi" w:cstheme="minorHAnsi"/>
          <w:sz w:val="24"/>
          <w:szCs w:val="24"/>
          <w:lang w:val="ka-GE"/>
        </w:rPr>
        <w:t>უნარი გამოიყენოს შესაბამისი მეთოდები (ხარისხობრივი და რაოდენობრივი ანალიზი) მასალების შეგროვებისას, ინტერპრეტირებისას და წარდგენისას;  განათლების სფეროსთვის დამახასიათებელი პროექტების, კვლევის დაგეგმვის, განვითარებისა და განხორციელების უნარი; პროგრამის დასრულებისას სტუდენტი შეძლებს უახლესი კვლევების კრიტიკული ანალიზის საფუძველზე განათლების ადმინისტრირებასთან დაკავშირებით რთული სიტუაციების გაანალიზებას და ინოვაციური დასკვნების გამოტანას</w:t>
      </w:r>
      <w:r w:rsidR="00F924EA">
        <w:rPr>
          <w:rFonts w:asciiTheme="minorHAnsi" w:hAnsiTheme="minorHAnsi" w:cstheme="minorHAnsi"/>
          <w:sz w:val="24"/>
          <w:szCs w:val="24"/>
          <w:lang w:val="ka-GE"/>
        </w:rPr>
        <w:t>;</w:t>
      </w:r>
      <w:r w:rsidRPr="00B435B5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</w:p>
    <w:p w14:paraId="062C2B41" w14:textId="6FB40B20" w:rsidR="00B435B5" w:rsidRPr="00F924EA" w:rsidRDefault="00B435B5" w:rsidP="00F924EA">
      <w:pPr>
        <w:pStyle w:val="abzacixml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  <w:lang w:val="ka-GE"/>
        </w:rPr>
      </w:pPr>
      <w:r w:rsidRPr="00F924EA">
        <w:rPr>
          <w:rFonts w:asciiTheme="minorHAnsi" w:hAnsiTheme="minorHAnsi" w:cstheme="minorHAnsi"/>
          <w:sz w:val="24"/>
          <w:szCs w:val="24"/>
          <w:lang w:val="ka-GE"/>
        </w:rPr>
        <w:t>ვერბალური (ზეპირი და წერილობითი) უნარი</w:t>
      </w:r>
      <w:r w:rsidR="00F924EA">
        <w:rPr>
          <w:rFonts w:asciiTheme="minorHAnsi" w:hAnsiTheme="minorHAnsi" w:cstheme="minorHAnsi"/>
          <w:sz w:val="24"/>
          <w:szCs w:val="24"/>
          <w:lang w:val="ka-GE"/>
        </w:rPr>
        <w:t>;</w:t>
      </w:r>
    </w:p>
    <w:p w14:paraId="6784011A" w14:textId="691BAC67" w:rsidR="00B435B5" w:rsidRPr="00B435B5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>არავერბალური კომუნიკაციისა და კომუნიკაციისას ტექნიკური საშუალებების გამოყენების უნარები</w:t>
      </w:r>
      <w:r w:rsidR="00F924EA">
        <w:rPr>
          <w:rFonts w:asciiTheme="minorHAnsi" w:hAnsiTheme="minorHAnsi" w:cstheme="minorHAnsi"/>
          <w:b w:val="0"/>
          <w:lang w:val="ka-GE"/>
        </w:rPr>
        <w:t>;</w:t>
      </w:r>
    </w:p>
    <w:p w14:paraId="652D7902" w14:textId="65B1ED44" w:rsidR="00B435B5" w:rsidRPr="00B435B5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 xml:space="preserve">თვით- და ურთიერთშეფასების უნარი,  დამოუკიდებელი სწავლის სტრატეგიული დაგეგმვის უნარი </w:t>
      </w:r>
      <w:r w:rsidR="00F924EA">
        <w:rPr>
          <w:rFonts w:asciiTheme="minorHAnsi" w:hAnsiTheme="minorHAnsi" w:cstheme="minorHAnsi"/>
          <w:b w:val="0"/>
          <w:lang w:val="ka-GE"/>
        </w:rPr>
        <w:t>;</w:t>
      </w:r>
      <w:r w:rsidRPr="00B435B5">
        <w:rPr>
          <w:rFonts w:asciiTheme="minorHAnsi" w:hAnsiTheme="minorHAnsi" w:cstheme="minorHAnsi"/>
          <w:b w:val="0"/>
          <w:lang w:val="ka-GE"/>
        </w:rPr>
        <w:t xml:space="preserve"> </w:t>
      </w:r>
    </w:p>
    <w:p w14:paraId="1C882B9A" w14:textId="4356F23E" w:rsidR="00B435B5" w:rsidRPr="00B435B5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>უნარი კვლევის მიზნით შეაგროვოს, გაანალიზოს და წარადგინოს მოპოვებული ინფორმაცია ეფექტურად და ეთიკურად, დაწეროს, გაიზიაროს, და წარადგინოს ანგარიშები და სხვა დოკუმენტაცია ცხადად და აკადემუირ სტილში</w:t>
      </w:r>
      <w:r w:rsidR="00F924EA">
        <w:rPr>
          <w:rFonts w:asciiTheme="minorHAnsi" w:hAnsiTheme="minorHAnsi" w:cstheme="minorHAnsi"/>
          <w:b w:val="0"/>
          <w:lang w:val="ka-GE"/>
        </w:rPr>
        <w:t>;</w:t>
      </w:r>
    </w:p>
    <w:p w14:paraId="4D3135F6" w14:textId="10F62A23" w:rsidR="00B435B5" w:rsidRPr="00B435B5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 xml:space="preserve"> ეთიკური პროფესიული  ნორმებისადმი პატივისცემა, მათ შორის აკადემიური პატიოსნების წესების დაცვა; სხვა კულტურებისადმი პატივისცემა;</w:t>
      </w:r>
    </w:p>
    <w:p w14:paraId="73EFF907" w14:textId="256A88E0" w:rsidR="00B435B5" w:rsidRPr="00B435B5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 xml:space="preserve"> განათლების ჰუმანისტური და დემოკრატიული (სტუდენტზე ორიენტირებული) სწავლების/ა</w:t>
      </w:r>
      <w:r w:rsidR="00F924EA">
        <w:rPr>
          <w:rFonts w:asciiTheme="minorHAnsi" w:hAnsiTheme="minorHAnsi" w:cstheme="minorHAnsi"/>
          <w:b w:val="0"/>
          <w:lang w:val="ka-GE"/>
        </w:rPr>
        <w:t>დ</w:t>
      </w:r>
      <w:r w:rsidRPr="00B435B5">
        <w:rPr>
          <w:rFonts w:asciiTheme="minorHAnsi" w:hAnsiTheme="minorHAnsi" w:cstheme="minorHAnsi"/>
          <w:b w:val="0"/>
          <w:lang w:val="ka-GE"/>
        </w:rPr>
        <w:t xml:space="preserve">მინისტრირების  პრინციპებისადმი პატივისცემა; </w:t>
      </w:r>
    </w:p>
    <w:p w14:paraId="71800E59" w14:textId="5977097A" w:rsidR="005945C6" w:rsidRPr="00496E51" w:rsidRDefault="00B435B5" w:rsidP="00F924EA">
      <w:pPr>
        <w:pStyle w:val="a4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 w:val="0"/>
          <w:lang w:val="ka-GE"/>
        </w:rPr>
      </w:pPr>
      <w:r w:rsidRPr="00B435B5">
        <w:rPr>
          <w:rFonts w:asciiTheme="minorHAnsi" w:hAnsiTheme="minorHAnsi" w:cstheme="minorHAnsi"/>
          <w:b w:val="0"/>
          <w:lang w:val="ka-GE"/>
        </w:rPr>
        <w:t xml:space="preserve"> ახალი და ინოვაციური ცოდნისკენ სწრაფვა, მისი პატივისცემა განათლებისა და მისი ადმინისტრირების დარგში</w:t>
      </w:r>
      <w:r w:rsidR="00F924EA">
        <w:rPr>
          <w:rFonts w:asciiTheme="minorHAnsi" w:hAnsiTheme="minorHAnsi" w:cstheme="minorHAnsi"/>
          <w:b w:val="0"/>
          <w:lang w:val="ka-GE"/>
        </w:rPr>
        <w:t>.</w:t>
      </w:r>
    </w:p>
    <w:p w14:paraId="766BB4AF" w14:textId="77777777" w:rsidR="005945C6" w:rsidRDefault="005945C6" w:rsidP="00FD29D6">
      <w:pPr>
        <w:rPr>
          <w:rFonts w:ascii="Sylfaen" w:hAnsi="Sylfaen"/>
          <w:b/>
          <w:highlight w:val="green"/>
          <w:lang w:val="ka-GE"/>
        </w:rPr>
      </w:pPr>
    </w:p>
    <w:p w14:paraId="36DC9377" w14:textId="237A1541" w:rsidR="004A560F" w:rsidRDefault="00F924EA" w:rsidP="004A560F">
      <w:pPr>
        <w:pStyle w:val="a4"/>
        <w:numPr>
          <w:ilvl w:val="0"/>
          <w:numId w:val="0"/>
        </w:numPr>
        <w:shd w:val="clear" w:color="auto" w:fill="FFFFFF" w:themeFill="background1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შეფასების სისტემა</w:t>
      </w:r>
    </w:p>
    <w:p w14:paraId="5ED73BDE" w14:textId="77777777" w:rsidR="005945C6" w:rsidRPr="004A560F" w:rsidRDefault="005945C6" w:rsidP="00FD29D6">
      <w:pPr>
        <w:rPr>
          <w:rFonts w:asciiTheme="minorHAnsi" w:hAnsiTheme="minorHAnsi" w:cstheme="minorHAnsi"/>
          <w:b/>
          <w:highlight w:val="green"/>
          <w:lang w:val="ka-GE"/>
        </w:rPr>
      </w:pPr>
    </w:p>
    <w:p w14:paraId="4E31A370" w14:textId="77777777" w:rsidR="004A560F" w:rsidRPr="004A560F" w:rsidRDefault="004A560F" w:rsidP="004A560F">
      <w:pPr>
        <w:spacing w:after="120" w:line="288" w:lineRule="auto"/>
        <w:jc w:val="both"/>
        <w:rPr>
          <w:rFonts w:asciiTheme="minorHAnsi" w:hAnsiTheme="minorHAnsi" w:cstheme="minorHAnsi"/>
          <w:bCs/>
          <w:noProof/>
          <w:lang w:val="ka-GE"/>
        </w:rPr>
      </w:pPr>
      <w:r w:rsidRPr="004A560F">
        <w:rPr>
          <w:rFonts w:asciiTheme="minorHAnsi" w:hAnsiTheme="minorHAnsi" w:cstheme="minorHAnsi"/>
          <w:bCs/>
          <w:noProof/>
          <w:lang w:val="ka-GE"/>
        </w:rPr>
        <w:lastRenderedPageBreak/>
        <w:t>შეფასების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მიზანია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ხარისხობრივად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განსაზღვროს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სტუდენტის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სწავლის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შედეგები აკადემიური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პროგრამის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მიზნებთან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და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პარამეტრებთან</w:t>
      </w:r>
      <w:r w:rsidRPr="004A560F">
        <w:rPr>
          <w:rFonts w:asciiTheme="minorHAnsi" w:hAnsiTheme="minorHAnsi" w:cstheme="minorHAnsi"/>
          <w:bCs/>
          <w:noProof/>
        </w:rPr>
        <w:t xml:space="preserve"> </w:t>
      </w:r>
      <w:r w:rsidRPr="004A560F">
        <w:rPr>
          <w:rFonts w:asciiTheme="minorHAnsi" w:hAnsiTheme="minorHAnsi" w:cstheme="minorHAnsi"/>
          <w:bCs/>
          <w:noProof/>
          <w:lang w:val="ka-GE"/>
        </w:rPr>
        <w:t>მიმართებაში</w:t>
      </w:r>
      <w:r w:rsidRPr="004A560F">
        <w:rPr>
          <w:rFonts w:asciiTheme="minorHAnsi" w:hAnsiTheme="minorHAnsi" w:cstheme="minorHAnsi"/>
          <w:bCs/>
          <w:noProof/>
          <w:lang w:val="gl-ES"/>
        </w:rPr>
        <w:t>.</w:t>
      </w:r>
    </w:p>
    <w:p w14:paraId="6157CC7D" w14:textId="77777777" w:rsidR="004A560F" w:rsidRPr="004A560F" w:rsidRDefault="004A560F" w:rsidP="004A56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72"/>
        </w:rPr>
      </w:pPr>
      <w:r w:rsidRPr="004A560F">
        <w:rPr>
          <w:rFonts w:asciiTheme="minorHAnsi" w:hAnsiTheme="minorHAnsi" w:cstheme="minorHAnsi"/>
          <w:lang w:val="ka-GE"/>
        </w:rPr>
        <w:t>სტუდენტის ცოდნის შეფასება ხორციელდება ზეპირი და</w:t>
      </w:r>
      <w:r w:rsidRPr="004A560F">
        <w:rPr>
          <w:rFonts w:asciiTheme="minorHAnsi" w:hAnsiTheme="minorHAnsi" w:cstheme="minorHAnsi"/>
        </w:rPr>
        <w:t>/</w:t>
      </w:r>
      <w:r w:rsidRPr="004A560F">
        <w:rPr>
          <w:rFonts w:asciiTheme="minorHAnsi" w:hAnsiTheme="minorHAnsi" w:cstheme="minorHAnsi"/>
          <w:lang w:val="ka-GE"/>
        </w:rPr>
        <w:t xml:space="preserve">ან წერილობითი ფორმით. </w:t>
      </w:r>
      <w:r w:rsidRPr="004A560F">
        <w:rPr>
          <w:rFonts w:asciiTheme="minorHAnsi" w:hAnsiTheme="minorHAnsi" w:cstheme="minorHAnsi"/>
          <w:kern w:val="72"/>
          <w:lang w:val="it-IT"/>
        </w:rPr>
        <w:t>სასწავლო კურს</w:t>
      </w:r>
      <w:r w:rsidRPr="004A560F">
        <w:rPr>
          <w:rFonts w:asciiTheme="minorHAnsi" w:hAnsiTheme="minorHAnsi" w:cstheme="minorHAnsi"/>
          <w:kern w:val="72"/>
          <w:lang w:val="ka-GE"/>
        </w:rPr>
        <w:t>ის/კომპონენტის მაქსიმალური</w:t>
      </w:r>
      <w:r w:rsidRPr="004A560F">
        <w:rPr>
          <w:rFonts w:asciiTheme="minorHAnsi" w:hAnsiTheme="minorHAnsi" w:cstheme="minorHAnsi"/>
          <w:kern w:val="72"/>
          <w:lang w:val="it-IT"/>
        </w:rPr>
        <w:t xml:space="preserve"> </w:t>
      </w:r>
      <w:r w:rsidRPr="004A560F">
        <w:rPr>
          <w:rFonts w:asciiTheme="minorHAnsi" w:hAnsiTheme="minorHAnsi" w:cstheme="minorHAnsi"/>
          <w:kern w:val="72"/>
          <w:lang w:val="ka-GE"/>
        </w:rPr>
        <w:t>შეფასება</w:t>
      </w:r>
      <w:r w:rsidRPr="004A560F">
        <w:rPr>
          <w:rFonts w:asciiTheme="minorHAnsi" w:hAnsiTheme="minorHAnsi" w:cstheme="minorHAnsi"/>
          <w:kern w:val="72"/>
          <w:lang w:val="it-IT"/>
        </w:rPr>
        <w:t xml:space="preserve"> 100 ქული</w:t>
      </w:r>
      <w:r w:rsidRPr="004A560F">
        <w:rPr>
          <w:rFonts w:asciiTheme="minorHAnsi" w:hAnsiTheme="minorHAnsi" w:cstheme="minorHAnsi"/>
          <w:kern w:val="72"/>
          <w:lang w:val="ka-GE"/>
        </w:rPr>
        <w:t>ს ტოლია. შეფასება ითვალისწინებს შუალედურ და დასკვნით შეფასებას, რომელთა ჯამი შეადგენს 100 ქულას.</w:t>
      </w:r>
    </w:p>
    <w:p w14:paraId="004CB839" w14:textId="77777777" w:rsidR="004A560F" w:rsidRPr="004A560F" w:rsidRDefault="004A560F" w:rsidP="004A560F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ka-GE"/>
        </w:rPr>
      </w:pPr>
      <w:r w:rsidRPr="004A560F">
        <w:rPr>
          <w:rFonts w:asciiTheme="minorHAnsi" w:hAnsiTheme="minorHAnsi" w:cstheme="minorHAnsi"/>
          <w:color w:val="000000"/>
          <w:lang w:val="ka-GE"/>
        </w:rPr>
        <w:t>შეფასების სისტემა უშვებს:</w:t>
      </w:r>
    </w:p>
    <w:p w14:paraId="1A4409E6" w14:textId="77777777" w:rsidR="004A560F" w:rsidRPr="004A560F" w:rsidRDefault="004A560F" w:rsidP="004A560F">
      <w:pPr>
        <w:widowControl w:val="0"/>
        <w:autoSpaceDE w:val="0"/>
        <w:autoSpaceDN w:val="0"/>
        <w:adjustRightInd w:val="0"/>
        <w:ind w:left="900" w:firstLine="1251"/>
        <w:jc w:val="both"/>
        <w:rPr>
          <w:rFonts w:asciiTheme="minorHAnsi" w:hAnsiTheme="minorHAnsi" w:cstheme="minorHAnsi"/>
          <w:color w:val="000000"/>
          <w:lang w:val="ka-GE"/>
        </w:rPr>
      </w:pPr>
      <w:r w:rsidRPr="004A560F">
        <w:rPr>
          <w:rFonts w:asciiTheme="minorHAnsi" w:hAnsiTheme="minorHAnsi" w:cstheme="minorHAnsi"/>
          <w:color w:val="000000"/>
          <w:lang w:val="ka-GE"/>
        </w:rPr>
        <w:t>ხუთი სახის დადებით შეფასებას:</w:t>
      </w:r>
    </w:p>
    <w:p w14:paraId="3F3C6FF5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1) (</w:t>
      </w:r>
      <w:r w:rsidRPr="004A560F">
        <w:rPr>
          <w:rFonts w:asciiTheme="minorHAnsi" w:hAnsiTheme="minorHAnsi" w:cstheme="minorHAnsi"/>
        </w:rPr>
        <w:t>A</w:t>
      </w:r>
      <w:r w:rsidRPr="004A560F">
        <w:rPr>
          <w:rFonts w:asciiTheme="minorHAnsi" w:hAnsiTheme="minorHAnsi" w:cstheme="minorHAnsi"/>
          <w:lang w:val="ka-GE"/>
        </w:rPr>
        <w:t>) ფრიადი – შეფასების 91 - 100 ქულა;</w:t>
      </w:r>
    </w:p>
    <w:p w14:paraId="0C9FE314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2) (</w:t>
      </w:r>
      <w:r w:rsidRPr="004A560F">
        <w:rPr>
          <w:rFonts w:asciiTheme="minorHAnsi" w:hAnsiTheme="minorHAnsi" w:cstheme="minorHAnsi"/>
        </w:rPr>
        <w:t>B</w:t>
      </w:r>
      <w:r w:rsidRPr="004A560F">
        <w:rPr>
          <w:rFonts w:asciiTheme="minorHAnsi" w:hAnsiTheme="minorHAnsi" w:cstheme="minorHAnsi"/>
          <w:lang w:val="ka-GE"/>
        </w:rPr>
        <w:t>) ძალიან კარგი – მაქსიმალური შეფასების 81 - 90 ქულა;</w:t>
      </w:r>
    </w:p>
    <w:p w14:paraId="6CD7307C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3) (</w:t>
      </w:r>
      <w:r w:rsidRPr="004A560F">
        <w:rPr>
          <w:rFonts w:asciiTheme="minorHAnsi" w:hAnsiTheme="minorHAnsi" w:cstheme="minorHAnsi"/>
        </w:rPr>
        <w:t>C</w:t>
      </w:r>
      <w:r w:rsidRPr="004A560F">
        <w:rPr>
          <w:rFonts w:asciiTheme="minorHAnsi" w:hAnsiTheme="minorHAnsi" w:cstheme="minorHAnsi"/>
          <w:lang w:val="ka-GE"/>
        </w:rPr>
        <w:t>) კარგი – მაქსიმალური შეფასების 71 - 80 ქულა;</w:t>
      </w:r>
    </w:p>
    <w:p w14:paraId="166BE40F" w14:textId="77777777" w:rsidR="004A560F" w:rsidRPr="004A560F" w:rsidRDefault="004A560F" w:rsidP="004A560F">
      <w:pPr>
        <w:ind w:firstLine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4) (</w:t>
      </w:r>
      <w:r w:rsidRPr="004A560F">
        <w:rPr>
          <w:rFonts w:asciiTheme="minorHAnsi" w:hAnsiTheme="minorHAnsi" w:cstheme="minorHAnsi"/>
        </w:rPr>
        <w:t>D</w:t>
      </w:r>
      <w:r w:rsidRPr="004A560F">
        <w:rPr>
          <w:rFonts w:asciiTheme="minorHAnsi" w:hAnsiTheme="minorHAnsi" w:cstheme="minorHAnsi"/>
          <w:lang w:val="ka-GE"/>
        </w:rPr>
        <w:t>) დამაკმაყოფილებელი – მაქსიმალური შეფასების 61 - 70 ქულა;</w:t>
      </w:r>
    </w:p>
    <w:p w14:paraId="4418D337" w14:textId="77777777" w:rsidR="004A560F" w:rsidRPr="004A560F" w:rsidRDefault="004A560F" w:rsidP="004A560F">
      <w:pPr>
        <w:ind w:left="284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5) (</w:t>
      </w:r>
      <w:r w:rsidRPr="004A560F">
        <w:rPr>
          <w:rFonts w:asciiTheme="minorHAnsi" w:hAnsiTheme="minorHAnsi" w:cstheme="minorHAnsi"/>
        </w:rPr>
        <w:t>E</w:t>
      </w:r>
      <w:r w:rsidRPr="004A560F">
        <w:rPr>
          <w:rFonts w:asciiTheme="minorHAnsi" w:hAnsiTheme="minorHAnsi" w:cstheme="minorHAnsi"/>
          <w:lang w:val="ka-GE"/>
        </w:rPr>
        <w:t>) საკმარისი – მაქსიმალური შეფასების 51 - 60 ქულა.</w:t>
      </w:r>
    </w:p>
    <w:p w14:paraId="076BAE90" w14:textId="77777777" w:rsidR="004A560F" w:rsidRPr="004A560F" w:rsidRDefault="004A560F" w:rsidP="004A560F">
      <w:pPr>
        <w:pStyle w:val="ListParagraph"/>
        <w:ind w:left="900" w:right="530" w:firstLine="12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>ორი სახის უარყოფით  შეფასებას:</w:t>
      </w:r>
    </w:p>
    <w:p w14:paraId="49148C06" w14:textId="77777777" w:rsidR="004A560F" w:rsidRPr="004A560F" w:rsidRDefault="004A560F" w:rsidP="004A560F">
      <w:pPr>
        <w:pStyle w:val="Default"/>
        <w:spacing w:after="120"/>
        <w:ind w:left="284" w:right="42"/>
        <w:jc w:val="both"/>
        <w:rPr>
          <w:rFonts w:asciiTheme="minorHAnsi" w:hAnsiTheme="minorHAnsi" w:cstheme="minorHAnsi"/>
          <w:color w:val="auto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1)  </w:t>
      </w:r>
      <w:r w:rsidRPr="004A560F">
        <w:rPr>
          <w:rFonts w:asciiTheme="minorHAnsi" w:hAnsiTheme="minorHAnsi" w:cstheme="minorHAnsi"/>
          <w:color w:val="auto"/>
          <w:lang w:val="ka-GE"/>
        </w:rPr>
        <w:t>(FX) ვერ ჩააბარა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</w:r>
    </w:p>
    <w:p w14:paraId="344CA77C" w14:textId="77777777" w:rsidR="004A560F" w:rsidRPr="004A560F" w:rsidRDefault="004A560F" w:rsidP="004A560F">
      <w:pPr>
        <w:pStyle w:val="Default"/>
        <w:spacing w:after="120"/>
        <w:ind w:left="284" w:right="42"/>
        <w:jc w:val="both"/>
        <w:rPr>
          <w:rFonts w:asciiTheme="minorHAnsi" w:hAnsiTheme="minorHAnsi" w:cstheme="minorHAnsi"/>
          <w:color w:val="auto"/>
          <w:lang w:val="ka-GE"/>
        </w:rPr>
      </w:pPr>
      <w:r w:rsidRPr="004A560F">
        <w:rPr>
          <w:rFonts w:asciiTheme="minorHAnsi" w:hAnsiTheme="minorHAnsi" w:cstheme="minorHAnsi"/>
          <w:color w:val="auto"/>
          <w:lang w:val="ka-GE"/>
        </w:rPr>
        <w:t>2) 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</w:r>
    </w:p>
    <w:p w14:paraId="7BC209B3" w14:textId="77777777" w:rsidR="004A560F" w:rsidRPr="004A560F" w:rsidRDefault="004A560F" w:rsidP="004A560F">
      <w:pPr>
        <w:pStyle w:val="ListParagraph"/>
        <w:ind w:left="0" w:firstLine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შუალედური და დასკვნითი შეფასებებისთვის განსაზღვრულია მინიმალური კომპეტენციის ზღვარი. დასკვნითი შეფასების მინიმალური კომპეტენციის ზღვრის ხვედრითი წილი არ აღემატება დასკვნითი შეფასების 60%-ს. </w:t>
      </w:r>
    </w:p>
    <w:p w14:paraId="5DFB0712" w14:textId="77777777" w:rsidR="004A560F" w:rsidRPr="004A560F" w:rsidRDefault="004A560F" w:rsidP="004A560F">
      <w:pPr>
        <w:pStyle w:val="ListParagraph"/>
        <w:ind w:left="0" w:firstLine="360"/>
        <w:jc w:val="both"/>
        <w:rPr>
          <w:rFonts w:asciiTheme="minorHAnsi" w:hAnsiTheme="minorHAnsi" w:cstheme="minorHAnsi"/>
          <w:noProof/>
          <w:lang w:val="ka-GE"/>
        </w:rPr>
      </w:pPr>
      <w:r w:rsidRPr="004A560F">
        <w:rPr>
          <w:rFonts w:asciiTheme="minorHAnsi" w:hAnsiTheme="minorHAnsi" w:cstheme="minorHAnsi"/>
          <w:noProof/>
          <w:lang w:val="ka-GE"/>
        </w:rPr>
        <w:t xml:space="preserve">შუალედური და დასკვნითი შეფასებების ქულობრივი განაწილება,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სილაბუსში. </w:t>
      </w:r>
    </w:p>
    <w:p w14:paraId="66171BB1" w14:textId="77777777" w:rsidR="004A560F" w:rsidRPr="004A560F" w:rsidRDefault="004A560F" w:rsidP="004A560F">
      <w:pPr>
        <w:ind w:right="1" w:firstLine="360"/>
        <w:jc w:val="both"/>
        <w:rPr>
          <w:rFonts w:asciiTheme="minorHAnsi" w:hAnsiTheme="minorHAnsi" w:cstheme="minorHAnsi"/>
          <w:lang w:val="af-ZA"/>
        </w:rPr>
      </w:pPr>
      <w:r w:rsidRPr="004A560F">
        <w:rPr>
          <w:rFonts w:asciiTheme="minorHAnsi" w:hAnsiTheme="minorHAnsi" w:cstheme="minorHAnsi"/>
          <w:lang w:val="ka-GE"/>
        </w:rPr>
        <w:t>სამაგისტრო ნაშრომი ფასდება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 xml:space="preserve">მაქსიმუმ </w:t>
      </w:r>
      <w:r w:rsidRPr="004A560F">
        <w:rPr>
          <w:rFonts w:asciiTheme="minorHAnsi" w:hAnsiTheme="minorHAnsi" w:cstheme="minorHAnsi"/>
          <w:lang w:val="af-ZA"/>
        </w:rPr>
        <w:t>100 ქული</w:t>
      </w:r>
      <w:r w:rsidRPr="004A560F">
        <w:rPr>
          <w:rFonts w:asciiTheme="minorHAnsi" w:hAnsiTheme="minorHAnsi" w:cstheme="minorHAnsi"/>
          <w:lang w:val="ka-GE"/>
        </w:rPr>
        <w:t>თ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 xml:space="preserve">შემდეგი </w:t>
      </w:r>
      <w:r w:rsidRPr="004A560F">
        <w:rPr>
          <w:rFonts w:asciiTheme="minorHAnsi" w:hAnsiTheme="minorHAnsi" w:cstheme="minorHAnsi"/>
          <w:lang w:val="af-ZA"/>
        </w:rPr>
        <w:t>სისტემი</w:t>
      </w:r>
      <w:r w:rsidRPr="004A560F">
        <w:rPr>
          <w:rFonts w:asciiTheme="minorHAnsi" w:hAnsiTheme="minorHAnsi" w:cstheme="minorHAnsi"/>
          <w:lang w:val="ka-GE"/>
        </w:rPr>
        <w:t xml:space="preserve">ს მიხედვით: </w:t>
      </w:r>
    </w:p>
    <w:p w14:paraId="1F8E5176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ა</w:t>
      </w:r>
      <w:r w:rsidRPr="004A560F">
        <w:rPr>
          <w:rFonts w:asciiTheme="minorHAnsi" w:hAnsiTheme="minorHAnsi" w:cstheme="minorHAnsi"/>
          <w:lang w:val="ka-GE"/>
        </w:rPr>
        <w:t>)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>ფრიადი (summa cum laude) ( 91 ქულა და მეტი) - შესანიშნავი ნაშრომი;</w:t>
      </w:r>
    </w:p>
    <w:p w14:paraId="31D7CE85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ბ</w:t>
      </w:r>
      <w:r w:rsidRPr="004A560F">
        <w:rPr>
          <w:rFonts w:asciiTheme="minorHAnsi" w:hAnsiTheme="minorHAnsi" w:cstheme="minorHAnsi"/>
          <w:lang w:val="ka-GE"/>
        </w:rPr>
        <w:t>) ძალიან კარგი (magna cum laude) (81-90 ქულა)</w:t>
      </w:r>
      <w:r w:rsidRPr="004A560F">
        <w:rPr>
          <w:rFonts w:asciiTheme="minorHAnsi" w:hAnsiTheme="minorHAnsi" w:cstheme="minorHAnsi"/>
          <w:lang w:val="af-ZA"/>
        </w:rPr>
        <w:t xml:space="preserve"> </w:t>
      </w:r>
      <w:r w:rsidRPr="004A560F">
        <w:rPr>
          <w:rFonts w:asciiTheme="minorHAnsi" w:hAnsiTheme="minorHAnsi" w:cstheme="minorHAnsi"/>
          <w:lang w:val="ka-GE"/>
        </w:rPr>
        <w:t>- შედეგი, რომელიც წაყენებულ   მოთხოვნებს ყოველმხრივ აღემატება;</w:t>
      </w:r>
    </w:p>
    <w:p w14:paraId="3F1A9610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გ</w:t>
      </w:r>
      <w:r w:rsidRPr="004A560F">
        <w:rPr>
          <w:rFonts w:asciiTheme="minorHAnsi" w:hAnsiTheme="minorHAnsi" w:cstheme="minorHAnsi"/>
          <w:lang w:val="ka-GE"/>
        </w:rPr>
        <w:t>) კარგი (cum laude) (71-80 ქულა) - შედეგი, რომელიც წაყენებულ მოთხოვნებს  აღემატება;</w:t>
      </w:r>
    </w:p>
    <w:p w14:paraId="79FBC42B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დ</w:t>
      </w:r>
      <w:r w:rsidRPr="004A560F">
        <w:rPr>
          <w:rFonts w:asciiTheme="minorHAnsi" w:hAnsiTheme="minorHAnsi" w:cstheme="minorHAnsi"/>
          <w:lang w:val="ka-GE"/>
        </w:rPr>
        <w:t>) საშუალო (bene) (61-70 ქულა) - შედეგი, რომელიც წაყენებულ მოთხოვნებს ყოველმხრივ აკმაყოფილებს;</w:t>
      </w:r>
    </w:p>
    <w:p w14:paraId="4AA19617" w14:textId="77777777" w:rsidR="004A560F" w:rsidRPr="004A560F" w:rsidRDefault="004A560F" w:rsidP="004A560F">
      <w:pPr>
        <w:ind w:right="1" w:hanging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ka-GE"/>
        </w:rPr>
        <w:t xml:space="preserve">      </w:t>
      </w:r>
      <w:r w:rsidRPr="004A560F">
        <w:rPr>
          <w:rFonts w:asciiTheme="minorHAnsi" w:hAnsiTheme="minorHAnsi" w:cstheme="minorHAnsi"/>
          <w:lang w:val="af-ZA"/>
        </w:rPr>
        <w:t>ე</w:t>
      </w:r>
      <w:r w:rsidRPr="004A560F">
        <w:rPr>
          <w:rFonts w:asciiTheme="minorHAnsi" w:hAnsiTheme="minorHAnsi" w:cstheme="minorHAnsi"/>
          <w:lang w:val="ka-GE"/>
        </w:rPr>
        <w:t>) დამაკმაყოფილებელი (rite) (51-60 ქულა) - შედეგი, რომელიც ხარვეზების მიუხედავად, წაყენებულ მოთხოვნებს მაინც აკმაყოფილებს;</w:t>
      </w:r>
    </w:p>
    <w:p w14:paraId="3407BC8F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ვ</w:t>
      </w:r>
      <w:r w:rsidRPr="004A560F">
        <w:rPr>
          <w:rFonts w:asciiTheme="minorHAnsi" w:hAnsiTheme="minorHAnsi" w:cstheme="minorHAnsi"/>
          <w:lang w:val="ka-GE"/>
        </w:rPr>
        <w:t>) არადამაკმაყოფილებელი (insufficienter) (41-50 ქულა) - შედეგი, რომელიც წაყენებულ მოთხოვნებს მნიშვნელოვანი ხარვეზების გამო ვერ აკმაყოფილებს;</w:t>
      </w:r>
    </w:p>
    <w:p w14:paraId="27D98960" w14:textId="77777777" w:rsidR="004A560F" w:rsidRPr="004A560F" w:rsidRDefault="004A560F" w:rsidP="004A560F">
      <w:pPr>
        <w:ind w:right="1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lang w:val="af-ZA"/>
        </w:rPr>
        <w:t>ზ</w:t>
      </w:r>
      <w:r w:rsidRPr="004A560F">
        <w:rPr>
          <w:rFonts w:asciiTheme="minorHAnsi" w:hAnsiTheme="minorHAnsi" w:cstheme="minorHAnsi"/>
          <w:lang w:val="ka-GE"/>
        </w:rPr>
        <w:t>) სრულიად არადამაკმაყოფილებელი (sub omni canone) (40 ქულა და ნაკლები) -შედეგი, რომელიც წაყენებულ მოთხოვნებს  სრულიად ვერ აკმაყოფილებს.</w:t>
      </w:r>
    </w:p>
    <w:p w14:paraId="5D06D03D" w14:textId="17B38B45" w:rsidR="000F67B3" w:rsidRPr="008B0B4B" w:rsidRDefault="004A560F" w:rsidP="008B0B4B">
      <w:pPr>
        <w:ind w:right="1" w:firstLine="360"/>
        <w:jc w:val="both"/>
        <w:rPr>
          <w:rFonts w:asciiTheme="minorHAnsi" w:hAnsiTheme="minorHAnsi" w:cstheme="minorHAnsi"/>
          <w:lang w:val="ka-GE"/>
        </w:rPr>
      </w:pPr>
      <w:r w:rsidRPr="004A560F">
        <w:rPr>
          <w:rFonts w:asciiTheme="minorHAnsi" w:hAnsiTheme="minorHAnsi" w:cstheme="minorHAnsi"/>
          <w:noProof/>
          <w:lang w:val="ka-GE"/>
        </w:rPr>
        <w:t>ზემოთ მოყვანილი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ა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>–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ე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მაგისტრანტს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შესაძლოა მი</w:t>
      </w:r>
      <w:r w:rsidRPr="004A560F">
        <w:rPr>
          <w:rFonts w:asciiTheme="minorHAnsi" w:hAnsiTheme="minorHAnsi" w:cstheme="minorHAnsi"/>
          <w:noProof/>
          <w:lang w:val="af-ZA"/>
        </w:rPr>
        <w:t>ენიჭ</w:t>
      </w:r>
      <w:r w:rsidRPr="004A560F">
        <w:rPr>
          <w:rFonts w:asciiTheme="minorHAnsi" w:hAnsiTheme="minorHAnsi" w:cstheme="minorHAnsi"/>
          <w:noProof/>
          <w:lang w:val="ka-GE"/>
        </w:rPr>
        <w:t>ოს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მაგისტრის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აკადემიური ხარისხი,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ვ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af-ZA"/>
        </w:rPr>
        <w:lastRenderedPageBreak/>
        <w:t xml:space="preserve">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ენიჭება </w:t>
      </w:r>
      <w:r w:rsidRPr="004A560F">
        <w:rPr>
          <w:rFonts w:asciiTheme="minorHAnsi" w:hAnsiTheme="minorHAnsi" w:cstheme="minorHAnsi"/>
          <w:noProof/>
          <w:lang w:val="ka-GE"/>
        </w:rPr>
        <w:t>შემდეგი</w:t>
      </w:r>
      <w:r w:rsidRPr="004A560F">
        <w:rPr>
          <w:rFonts w:asciiTheme="minorHAnsi" w:hAnsiTheme="minorHAnsi" w:cstheme="minorHAnsi"/>
          <w:noProof/>
          <w:lang w:val="af-ZA"/>
        </w:rPr>
        <w:t xml:space="preserve"> </w:t>
      </w:r>
      <w:r w:rsidRPr="004A560F">
        <w:rPr>
          <w:rFonts w:asciiTheme="minorHAnsi" w:hAnsiTheme="minorHAnsi" w:cstheme="minorHAnsi"/>
          <w:noProof/>
          <w:lang w:val="ka-GE"/>
        </w:rPr>
        <w:t>სემესტრის</w:t>
      </w:r>
      <w:r w:rsidRPr="004A560F">
        <w:rPr>
          <w:rFonts w:asciiTheme="minorHAnsi" w:hAnsiTheme="minorHAnsi" w:cstheme="minorHAnsi"/>
          <w:noProof/>
          <w:lang w:val="af-ZA"/>
        </w:rPr>
        <w:t xml:space="preserve"> განმავლობაში გადამუშავებული სა</w:t>
      </w:r>
      <w:r w:rsidRPr="004A560F">
        <w:rPr>
          <w:rFonts w:asciiTheme="minorHAnsi" w:hAnsiTheme="minorHAnsi" w:cstheme="minorHAnsi"/>
          <w:noProof/>
          <w:lang w:val="ka-GE"/>
        </w:rPr>
        <w:t>მაგისტრო</w:t>
      </w:r>
      <w:r w:rsidRPr="004A560F">
        <w:rPr>
          <w:rFonts w:asciiTheme="minorHAnsi" w:hAnsiTheme="minorHAnsi" w:cstheme="minorHAnsi"/>
          <w:noProof/>
          <w:lang w:val="af-ZA"/>
        </w:rPr>
        <w:t xml:space="preserve"> ნაშრომის წადგენის უფლება, ხოლო </w:t>
      </w:r>
      <w:r w:rsidRPr="004A560F">
        <w:rPr>
          <w:rFonts w:asciiTheme="minorHAnsi" w:hAnsiTheme="minorHAnsi" w:cstheme="minorHAnsi"/>
          <w:noProof/>
          <w:lang w:val="ka-GE"/>
        </w:rPr>
        <w:t>„</w:t>
      </w:r>
      <w:r w:rsidRPr="004A560F">
        <w:rPr>
          <w:rFonts w:asciiTheme="minorHAnsi" w:hAnsiTheme="minorHAnsi" w:cstheme="minorHAnsi"/>
          <w:noProof/>
          <w:lang w:val="af-ZA"/>
        </w:rPr>
        <w:t>ზ</w:t>
      </w:r>
      <w:r w:rsidRPr="004A560F">
        <w:rPr>
          <w:rFonts w:asciiTheme="minorHAnsi" w:hAnsiTheme="minorHAnsi" w:cstheme="minorHAnsi"/>
          <w:noProof/>
          <w:lang w:val="ka-GE"/>
        </w:rPr>
        <w:t>“</w:t>
      </w:r>
      <w:r w:rsidRPr="004A560F">
        <w:rPr>
          <w:rFonts w:asciiTheme="minorHAnsi" w:hAnsiTheme="minorHAnsi" w:cstheme="minorHAnsi"/>
          <w:noProof/>
          <w:lang w:val="af-ZA"/>
        </w:rPr>
        <w:t xml:space="preserve"> ქვეპუნქტებით გათვალისწინებული შეფასების მიღების შემთხვევაში </w:t>
      </w:r>
      <w:r w:rsidRPr="004A560F">
        <w:rPr>
          <w:rFonts w:asciiTheme="minorHAnsi" w:hAnsiTheme="minorHAnsi" w:cstheme="minorHAnsi"/>
          <w:noProof/>
          <w:lang w:val="ka-GE"/>
        </w:rPr>
        <w:t>მაგისტრანტი</w:t>
      </w:r>
      <w:r w:rsidRPr="004A560F">
        <w:rPr>
          <w:rFonts w:asciiTheme="minorHAnsi" w:hAnsiTheme="minorHAnsi" w:cstheme="minorHAnsi"/>
          <w:noProof/>
          <w:lang w:val="af-ZA"/>
        </w:rPr>
        <w:t xml:space="preserve"> კარგავს ი</w:t>
      </w:r>
      <w:r w:rsidRPr="004A560F">
        <w:rPr>
          <w:rFonts w:asciiTheme="minorHAnsi" w:hAnsiTheme="minorHAnsi" w:cstheme="minorHAnsi"/>
          <w:noProof/>
          <w:lang w:val="ka-GE"/>
        </w:rPr>
        <w:t>მა</w:t>
      </w:r>
      <w:r w:rsidRPr="004A560F">
        <w:rPr>
          <w:rFonts w:asciiTheme="minorHAnsi" w:hAnsiTheme="minorHAnsi" w:cstheme="minorHAnsi"/>
          <w:noProof/>
          <w:lang w:val="af-ZA"/>
        </w:rPr>
        <w:t xml:space="preserve">ვე </w:t>
      </w:r>
      <w:r w:rsidRPr="004A560F">
        <w:rPr>
          <w:rFonts w:asciiTheme="minorHAnsi" w:hAnsiTheme="minorHAnsi" w:cstheme="minorHAnsi"/>
          <w:noProof/>
          <w:lang w:val="ka-GE"/>
        </w:rPr>
        <w:t>თემაზე</w:t>
      </w:r>
      <w:r w:rsidRPr="004A560F">
        <w:rPr>
          <w:rFonts w:asciiTheme="minorHAnsi" w:hAnsiTheme="minorHAnsi" w:cstheme="minorHAnsi"/>
          <w:noProof/>
          <w:lang w:val="af-ZA"/>
        </w:rPr>
        <w:t xml:space="preserve"> ნაშრომის წარდგენის უფლება</w:t>
      </w:r>
      <w:r w:rsidR="008B0B4B">
        <w:rPr>
          <w:rFonts w:asciiTheme="minorHAnsi" w:hAnsiTheme="minorHAnsi" w:cstheme="minorHAnsi"/>
          <w:noProof/>
          <w:lang w:val="ka-GE"/>
        </w:rPr>
        <w:t>.</w:t>
      </w:r>
    </w:p>
    <w:sectPr w:rsidR="000F67B3" w:rsidRPr="008B0B4B" w:rsidSect="002D17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E7AF" w14:textId="77777777" w:rsidR="00EA13C5" w:rsidRDefault="00EA13C5" w:rsidP="00A21F5C">
      <w:r>
        <w:separator/>
      </w:r>
    </w:p>
  </w:endnote>
  <w:endnote w:type="continuationSeparator" w:id="0">
    <w:p w14:paraId="745AFE51" w14:textId="77777777" w:rsidR="00EA13C5" w:rsidRDefault="00EA13C5" w:rsidP="00A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67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35E36" w14:textId="3B0F3A05" w:rsidR="008C6218" w:rsidRDefault="008C6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E8B0C" w14:textId="77777777" w:rsidR="008C6218" w:rsidRDefault="008C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DF75" w14:textId="77777777" w:rsidR="00EA13C5" w:rsidRDefault="00EA13C5" w:rsidP="00A21F5C">
      <w:r>
        <w:separator/>
      </w:r>
    </w:p>
  </w:footnote>
  <w:footnote w:type="continuationSeparator" w:id="0">
    <w:p w14:paraId="72713940" w14:textId="77777777" w:rsidR="00EA13C5" w:rsidRDefault="00EA13C5" w:rsidP="00A2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545F"/>
    <w:multiLevelType w:val="multilevel"/>
    <w:tmpl w:val="5324E89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a2"/>
      <w:lvlText w:val="Article %2."/>
      <w:lvlJc w:val="left"/>
      <w:pPr>
        <w:ind w:left="2356" w:hanging="1276"/>
      </w:pPr>
      <w:rPr>
        <w:rFonts w:ascii="Times New Roman" w:hAnsi="Times New Roman" w:cs="Times New Roman" w:hint="default"/>
        <w:i w:val="0"/>
        <w:color w:val="000000"/>
        <w:spacing w:val="0"/>
        <w:u w:val="none"/>
      </w:rPr>
    </w:lvl>
    <w:lvl w:ilvl="2">
      <w:start w:val="1"/>
      <w:numFmt w:val="decimal"/>
      <w:pStyle w:val="a3"/>
      <w:lvlText w:val="%2.%3."/>
      <w:lvlJc w:val="left"/>
      <w:pPr>
        <w:ind w:left="1702" w:hanging="851"/>
      </w:pPr>
      <w:rPr>
        <w:rFonts w:ascii="Times New Roman" w:hAnsi="Times New Roman" w:cs="Times New Roman"/>
        <w:b w:val="0"/>
        <w:i w:val="0"/>
        <w:color w:val="auto"/>
        <w:spacing w:val="0"/>
        <w:sz w:val="24"/>
        <w:u w:val="none"/>
      </w:rPr>
    </w:lvl>
    <w:lvl w:ilvl="3">
      <w:start w:val="1"/>
      <w:numFmt w:val="decimal"/>
      <w:pStyle w:val="a4"/>
      <w:lvlText w:val="%2.%3.%4."/>
      <w:lvlJc w:val="left"/>
      <w:pPr>
        <w:ind w:left="2432" w:hanging="992"/>
      </w:pPr>
      <w:rPr>
        <w:rFonts w:ascii="Times New Roman" w:hAnsi="Times New Roman" w:cs="Times New Roman" w:hint="default"/>
        <w:b w:val="0"/>
        <w:i w:val="0"/>
        <w:color w:val="000000"/>
        <w:spacing w:val="0"/>
        <w:sz w:val="24"/>
        <w:u w:val="none"/>
      </w:rPr>
    </w:lvl>
    <w:lvl w:ilvl="4">
      <w:start w:val="1"/>
      <w:numFmt w:val="decimal"/>
      <w:lvlText w:val="%5.%2.%3.%4"/>
      <w:lvlJc w:val="left"/>
      <w:pPr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15.1.13.%6."/>
      <w:lvlJc w:val="left"/>
      <w:pPr>
        <w:ind w:left="4536" w:hanging="992"/>
      </w:pPr>
      <w:rPr>
        <w:rFonts w:hint="default"/>
        <w:b w:val="0"/>
        <w:i w:val="0"/>
        <w:color w:val="000000"/>
        <w:spacing w:val="0"/>
        <w:sz w:val="24"/>
        <w:u w:val="none"/>
      </w:rPr>
    </w:lvl>
    <w:lvl w:ilvl="6">
      <w:start w:val="1"/>
      <w:numFmt w:val="decimal"/>
      <w:pStyle w:val="a27"/>
      <w:lvlText w:val="%2.%3.%4.%5.%6.%7."/>
      <w:lvlJc w:val="left"/>
      <w:pPr>
        <w:ind w:left="3240" w:hanging="1080"/>
      </w:pPr>
      <w:rPr>
        <w:rFonts w:ascii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81DB6"/>
    <w:multiLevelType w:val="hybridMultilevel"/>
    <w:tmpl w:val="146838E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8A35A4"/>
    <w:multiLevelType w:val="hybridMultilevel"/>
    <w:tmpl w:val="3960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754"/>
    <w:multiLevelType w:val="hybridMultilevel"/>
    <w:tmpl w:val="0C4657EC"/>
    <w:lvl w:ilvl="0" w:tplc="F078D35C">
      <w:start w:val="1"/>
      <w:numFmt w:val="upperLetter"/>
      <w:lvlText w:val="(%1)"/>
      <w:lvlJc w:val="left"/>
      <w:pPr>
        <w:ind w:left="20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16DA6C5C"/>
    <w:multiLevelType w:val="hybridMultilevel"/>
    <w:tmpl w:val="648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97A"/>
    <w:multiLevelType w:val="hybridMultilevel"/>
    <w:tmpl w:val="7368CA28"/>
    <w:lvl w:ilvl="0" w:tplc="73447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04F4"/>
    <w:multiLevelType w:val="hybridMultilevel"/>
    <w:tmpl w:val="FD30E0B0"/>
    <w:lvl w:ilvl="0" w:tplc="7C52B276">
      <w:start w:val="1"/>
      <w:numFmt w:val="decimal"/>
      <w:lvlText w:val="%1."/>
      <w:lvlJc w:val="left"/>
      <w:pPr>
        <w:ind w:left="510" w:hanging="360"/>
      </w:pPr>
      <w:rPr>
        <w:rFonts w:ascii="Sylfaen" w:hAnsi="Sylfaen" w:cs="Sylfae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23693CB5"/>
    <w:multiLevelType w:val="hybridMultilevel"/>
    <w:tmpl w:val="790C1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3A08"/>
    <w:multiLevelType w:val="hybridMultilevel"/>
    <w:tmpl w:val="180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91522"/>
    <w:multiLevelType w:val="hybridMultilevel"/>
    <w:tmpl w:val="E25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3589"/>
    <w:multiLevelType w:val="hybridMultilevel"/>
    <w:tmpl w:val="FDB251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8025F91"/>
    <w:multiLevelType w:val="hybridMultilevel"/>
    <w:tmpl w:val="2DA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5C19"/>
    <w:multiLevelType w:val="hybridMultilevel"/>
    <w:tmpl w:val="DEBEA9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F6D0821"/>
    <w:multiLevelType w:val="hybridMultilevel"/>
    <w:tmpl w:val="0300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469F0"/>
    <w:multiLevelType w:val="hybridMultilevel"/>
    <w:tmpl w:val="C228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1C13"/>
    <w:multiLevelType w:val="hybridMultilevel"/>
    <w:tmpl w:val="DFF68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3CF2"/>
    <w:multiLevelType w:val="hybridMultilevel"/>
    <w:tmpl w:val="BD6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F46B8"/>
    <w:multiLevelType w:val="hybridMultilevel"/>
    <w:tmpl w:val="908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8"/>
  </w:num>
  <w:num w:numId="18">
    <w:abstractNumId w:val="10"/>
  </w:num>
  <w:num w:numId="19">
    <w:abstractNumId w:val="9"/>
  </w:num>
  <w:num w:numId="20">
    <w:abstractNumId w:val="0"/>
  </w:num>
  <w:num w:numId="21">
    <w:abstractNumId w:val="0"/>
  </w:num>
  <w:num w:numId="22">
    <w:abstractNumId w:val="0"/>
  </w:num>
  <w:num w:numId="23">
    <w:abstractNumId w:val="7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3"/>
    <w:rsid w:val="000154F7"/>
    <w:rsid w:val="000329E3"/>
    <w:rsid w:val="00064D75"/>
    <w:rsid w:val="000772AB"/>
    <w:rsid w:val="00080DF3"/>
    <w:rsid w:val="000F3BF8"/>
    <w:rsid w:val="000F67B3"/>
    <w:rsid w:val="00123049"/>
    <w:rsid w:val="00125C57"/>
    <w:rsid w:val="0015526B"/>
    <w:rsid w:val="001E2BEF"/>
    <w:rsid w:val="001F7D37"/>
    <w:rsid w:val="00217713"/>
    <w:rsid w:val="00225873"/>
    <w:rsid w:val="00257B2F"/>
    <w:rsid w:val="002800C6"/>
    <w:rsid w:val="0028432B"/>
    <w:rsid w:val="002B6D7B"/>
    <w:rsid w:val="002D17B2"/>
    <w:rsid w:val="00302EBE"/>
    <w:rsid w:val="0035107B"/>
    <w:rsid w:val="00393156"/>
    <w:rsid w:val="003D7F77"/>
    <w:rsid w:val="003E013A"/>
    <w:rsid w:val="00441129"/>
    <w:rsid w:val="004419A5"/>
    <w:rsid w:val="00456B63"/>
    <w:rsid w:val="00467A9A"/>
    <w:rsid w:val="00486DA1"/>
    <w:rsid w:val="00495790"/>
    <w:rsid w:val="00496E51"/>
    <w:rsid w:val="004A560F"/>
    <w:rsid w:val="00531010"/>
    <w:rsid w:val="00544A05"/>
    <w:rsid w:val="00584640"/>
    <w:rsid w:val="005926FC"/>
    <w:rsid w:val="005945C6"/>
    <w:rsid w:val="005D0B8F"/>
    <w:rsid w:val="005F7A2C"/>
    <w:rsid w:val="00606FB8"/>
    <w:rsid w:val="0062116D"/>
    <w:rsid w:val="006856C6"/>
    <w:rsid w:val="006D1AB8"/>
    <w:rsid w:val="006D738F"/>
    <w:rsid w:val="007254C7"/>
    <w:rsid w:val="007539F4"/>
    <w:rsid w:val="007A1EC1"/>
    <w:rsid w:val="007C5A70"/>
    <w:rsid w:val="007E23F5"/>
    <w:rsid w:val="00863112"/>
    <w:rsid w:val="008637E3"/>
    <w:rsid w:val="00883907"/>
    <w:rsid w:val="008B0B4B"/>
    <w:rsid w:val="008C6218"/>
    <w:rsid w:val="008F0B65"/>
    <w:rsid w:val="008F71AF"/>
    <w:rsid w:val="00901026"/>
    <w:rsid w:val="009107D1"/>
    <w:rsid w:val="00913A22"/>
    <w:rsid w:val="00920AA1"/>
    <w:rsid w:val="009B58F5"/>
    <w:rsid w:val="009E68BC"/>
    <w:rsid w:val="00A21F5C"/>
    <w:rsid w:val="00A70477"/>
    <w:rsid w:val="00A71A68"/>
    <w:rsid w:val="00A72ECF"/>
    <w:rsid w:val="00A84BF1"/>
    <w:rsid w:val="00A93933"/>
    <w:rsid w:val="00AD2DF8"/>
    <w:rsid w:val="00AE4BE2"/>
    <w:rsid w:val="00B373E7"/>
    <w:rsid w:val="00B435B5"/>
    <w:rsid w:val="00B73BD8"/>
    <w:rsid w:val="00B77282"/>
    <w:rsid w:val="00BD1F7F"/>
    <w:rsid w:val="00C24E60"/>
    <w:rsid w:val="00C26E07"/>
    <w:rsid w:val="00C505ED"/>
    <w:rsid w:val="00C62EA5"/>
    <w:rsid w:val="00C77E0D"/>
    <w:rsid w:val="00CD79EF"/>
    <w:rsid w:val="00CF334C"/>
    <w:rsid w:val="00D012B6"/>
    <w:rsid w:val="00D04904"/>
    <w:rsid w:val="00D27670"/>
    <w:rsid w:val="00D32A8E"/>
    <w:rsid w:val="00D63966"/>
    <w:rsid w:val="00DA339C"/>
    <w:rsid w:val="00DA7A32"/>
    <w:rsid w:val="00DB1163"/>
    <w:rsid w:val="00DC6E79"/>
    <w:rsid w:val="00DE1754"/>
    <w:rsid w:val="00DE1C80"/>
    <w:rsid w:val="00DF1F09"/>
    <w:rsid w:val="00E01827"/>
    <w:rsid w:val="00E12A46"/>
    <w:rsid w:val="00E61312"/>
    <w:rsid w:val="00E80AF2"/>
    <w:rsid w:val="00E862EE"/>
    <w:rsid w:val="00EA13C5"/>
    <w:rsid w:val="00EA5480"/>
    <w:rsid w:val="00EA58A7"/>
    <w:rsid w:val="00EC62DF"/>
    <w:rsid w:val="00F255A0"/>
    <w:rsid w:val="00F4189B"/>
    <w:rsid w:val="00F65AB2"/>
    <w:rsid w:val="00F66D04"/>
    <w:rsid w:val="00F67EF3"/>
    <w:rsid w:val="00F90BCA"/>
    <w:rsid w:val="00F924EA"/>
    <w:rsid w:val="00FD29D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11F73"/>
  <w15:chartTrackingRefBased/>
  <w15:docId w15:val="{1CE3F828-5CD3-8C49-B302-A6E2789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9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8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_2"/>
    <w:basedOn w:val="Normal"/>
    <w:rsid w:val="00C77E0D"/>
    <w:pPr>
      <w:keepNext/>
      <w:keepLines/>
      <w:numPr>
        <w:ilvl w:val="1"/>
        <w:numId w:val="2"/>
      </w:numPr>
      <w:spacing w:before="240" w:after="200" w:line="276" w:lineRule="auto"/>
      <w:ind w:left="1386" w:hanging="1386"/>
      <w:jc w:val="both"/>
      <w:outlineLvl w:val="1"/>
    </w:pPr>
    <w:rPr>
      <w:b/>
    </w:rPr>
  </w:style>
  <w:style w:type="paragraph" w:customStyle="1" w:styleId="a3">
    <w:name w:val="a_3"/>
    <w:basedOn w:val="Normal"/>
    <w:rsid w:val="00C77E0D"/>
    <w:pPr>
      <w:numPr>
        <w:ilvl w:val="2"/>
        <w:numId w:val="2"/>
      </w:numPr>
      <w:spacing w:before="120" w:after="120" w:line="276" w:lineRule="auto"/>
      <w:ind w:left="1391"/>
      <w:jc w:val="both"/>
    </w:pPr>
    <w:rPr>
      <w:rFonts w:eastAsia="Sylfaen"/>
      <w:b/>
    </w:rPr>
  </w:style>
  <w:style w:type="paragraph" w:customStyle="1" w:styleId="a4">
    <w:name w:val="a_4"/>
    <w:basedOn w:val="Normal"/>
    <w:rsid w:val="00C77E0D"/>
    <w:pPr>
      <w:numPr>
        <w:ilvl w:val="3"/>
        <w:numId w:val="2"/>
      </w:numPr>
      <w:spacing w:before="40" w:after="40" w:line="276" w:lineRule="auto"/>
    </w:pPr>
    <w:rPr>
      <w:b/>
    </w:rPr>
  </w:style>
  <w:style w:type="paragraph" w:customStyle="1" w:styleId="a27">
    <w:name w:val="a2_7"/>
    <w:basedOn w:val="Normal"/>
    <w:qFormat/>
    <w:rsid w:val="00C77E0D"/>
    <w:pPr>
      <w:numPr>
        <w:ilvl w:val="6"/>
        <w:numId w:val="2"/>
      </w:numPr>
      <w:spacing w:after="200" w:line="276" w:lineRule="auto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5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58F5"/>
    <w:pPr>
      <w:autoSpaceDE w:val="0"/>
      <w:autoSpaceDN w:val="0"/>
      <w:adjustRightInd w:val="0"/>
    </w:pPr>
    <w:rPr>
      <w:rFonts w:ascii="Sylfaen" w:hAnsi="Sylfaen" w:cs="Sylfaen"/>
      <w:color w:val="000000"/>
    </w:rPr>
  </w:style>
  <w:style w:type="paragraph" w:customStyle="1" w:styleId="edgt-il-text">
    <w:name w:val="edgt-il-text"/>
    <w:basedOn w:val="Normal"/>
    <w:rsid w:val="0039315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EA58A7"/>
    <w:pPr>
      <w:jc w:val="both"/>
    </w:pPr>
    <w:rPr>
      <w:rFonts w:ascii="AcadNusx" w:hAnsi="AcadNusx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A58A7"/>
    <w:rPr>
      <w:rFonts w:ascii="AcadNusx" w:eastAsia="Times New Roman" w:hAnsi="AcadNusx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18"/>
    <w:rPr>
      <w:rFonts w:ascii="Segoe UI" w:eastAsia="Times New Roman" w:hAnsi="Segoe UI" w:cs="Segoe UI"/>
      <w:sz w:val="18"/>
      <w:szCs w:val="18"/>
    </w:rPr>
  </w:style>
  <w:style w:type="paragraph" w:customStyle="1" w:styleId="abzacixml">
    <w:name w:val="abzaci_xml"/>
    <w:basedOn w:val="PlainText"/>
    <w:rsid w:val="00B435B5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35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5B5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AB1F-0622-4A46-BF41-3BA08941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Ekaterina Pipia</cp:lastModifiedBy>
  <cp:revision>13</cp:revision>
  <dcterms:created xsi:type="dcterms:W3CDTF">2020-01-31T07:39:00Z</dcterms:created>
  <dcterms:modified xsi:type="dcterms:W3CDTF">2022-01-17T10:49:00Z</dcterms:modified>
</cp:coreProperties>
</file>