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6444" w14:textId="3EFF6BF0" w:rsidR="00B435B5" w:rsidRPr="00B435B5" w:rsidRDefault="00B435B5" w:rsidP="00E862EE">
      <w:pPr>
        <w:jc w:val="center"/>
        <w:rPr>
          <w:rFonts w:asciiTheme="minorHAnsi" w:hAnsiTheme="minorHAnsi"/>
          <w:b/>
          <w:lang w:val="ka-GE"/>
        </w:rPr>
      </w:pPr>
      <w:r>
        <w:rPr>
          <w:rFonts w:asciiTheme="minorHAnsi" w:hAnsiTheme="minorHAnsi"/>
          <w:b/>
          <w:lang w:val="ka-GE"/>
        </w:rPr>
        <w:t>განათლების ადმინისტრირება (</w:t>
      </w:r>
      <w:r w:rsidR="007E6561">
        <w:rPr>
          <w:rFonts w:asciiTheme="minorHAnsi" w:hAnsiTheme="minorHAnsi"/>
          <w:b/>
          <w:lang w:val="ka-GE"/>
        </w:rPr>
        <w:t>ქართულ</w:t>
      </w:r>
      <w:r>
        <w:rPr>
          <w:rFonts w:asciiTheme="minorHAnsi" w:hAnsiTheme="minorHAnsi"/>
          <w:b/>
          <w:lang w:val="ka-GE"/>
        </w:rPr>
        <w:t>ენოვანი)</w:t>
      </w:r>
    </w:p>
    <w:p w14:paraId="51880F17" w14:textId="77777777" w:rsidR="001F7D37" w:rsidRPr="00E862EE" w:rsidRDefault="001F7D37">
      <w:pPr>
        <w:rPr>
          <w:b/>
          <w:highlight w:val="green"/>
        </w:rPr>
      </w:pPr>
    </w:p>
    <w:p w14:paraId="75853B61" w14:textId="1B83BAF4" w:rsidR="00393156" w:rsidRDefault="00393156">
      <w:pPr>
        <w:rPr>
          <w:b/>
        </w:rPr>
      </w:pPr>
    </w:p>
    <w:p w14:paraId="126E3181" w14:textId="5343BA3E" w:rsidR="00B435B5" w:rsidRPr="00B435B5" w:rsidRDefault="0015526B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 w:rsidRPr="00B435B5">
        <w:rPr>
          <w:rFonts w:asciiTheme="minorHAnsi" w:hAnsiTheme="minorHAnsi"/>
          <w:lang w:val="ka-GE"/>
        </w:rPr>
        <w:t>პროგრამის სტრუქტურა</w:t>
      </w:r>
      <w:r w:rsidR="00B435B5" w:rsidRPr="00B435B5">
        <w:rPr>
          <w:rFonts w:asciiTheme="minorHAnsi" w:hAnsiTheme="minorHAnsi"/>
          <w:lang w:val="ka-GE"/>
        </w:rPr>
        <w:t xml:space="preserve"> </w:t>
      </w:r>
    </w:p>
    <w:p w14:paraId="16F0300C" w14:textId="77777777" w:rsidR="007E6561" w:rsidRPr="007E6561" w:rsidRDefault="007E6561" w:rsidP="007E6561">
      <w:pPr>
        <w:pStyle w:val="BodyText"/>
        <w:spacing w:line="288" w:lineRule="auto"/>
        <w:jc w:val="left"/>
        <w:rPr>
          <w:rFonts w:asciiTheme="minorHAnsi" w:hAnsiTheme="minorHAnsi" w:cstheme="minorHAnsi"/>
          <w:szCs w:val="24"/>
          <w:lang w:val="ka-GE" w:eastAsia="en-US"/>
        </w:rPr>
      </w:pPr>
      <w:r w:rsidRPr="007E6561">
        <w:rPr>
          <w:rFonts w:asciiTheme="minorHAnsi" w:hAnsiTheme="minorHAnsi" w:cstheme="minorHAnsi"/>
          <w:szCs w:val="24"/>
          <w:lang w:val="ka-GE" w:eastAsia="en-US"/>
        </w:rPr>
        <w:t>პროგრამის დასასრულებლად სტუდენტმა უნდა აითვისოს 120 კრედიტი (ECTS).</w:t>
      </w:r>
    </w:p>
    <w:p w14:paraId="5E1D2083" w14:textId="6C2DA1C7" w:rsidR="007E6561" w:rsidRPr="007E6561" w:rsidRDefault="007E6561" w:rsidP="007E6561">
      <w:pPr>
        <w:pStyle w:val="BodyText"/>
        <w:spacing w:line="288" w:lineRule="auto"/>
        <w:jc w:val="left"/>
        <w:rPr>
          <w:rFonts w:asciiTheme="minorHAnsi" w:hAnsiTheme="minorHAnsi" w:cstheme="minorHAnsi"/>
          <w:szCs w:val="24"/>
          <w:lang w:val="ka-GE" w:eastAsia="en-US"/>
        </w:rPr>
      </w:pPr>
      <w:r w:rsidRPr="007E6561">
        <w:rPr>
          <w:rFonts w:asciiTheme="minorHAnsi" w:hAnsiTheme="minorHAnsi" w:cstheme="minorHAnsi"/>
          <w:szCs w:val="24"/>
          <w:lang w:val="ka-GE" w:eastAsia="en-US"/>
        </w:rPr>
        <w:t>კრედიტები ნაწილდება შემდეგნაირად:</w:t>
      </w:r>
      <w:r>
        <w:rPr>
          <w:rFonts w:asciiTheme="minorHAnsi" w:hAnsiTheme="minorHAnsi" w:cstheme="minorHAnsi"/>
          <w:szCs w:val="24"/>
          <w:lang w:val="ka-GE" w:eastAsia="en-US"/>
        </w:rPr>
        <w:t xml:space="preserve"> </w:t>
      </w:r>
      <w:r w:rsidRPr="007E6561">
        <w:rPr>
          <w:rFonts w:asciiTheme="minorHAnsi" w:hAnsiTheme="minorHAnsi" w:cstheme="minorHAnsi"/>
          <w:szCs w:val="24"/>
          <w:lang w:val="ka-GE" w:eastAsia="en-US"/>
        </w:rPr>
        <w:t>სავალდებულო კურსების ბლოკი- 62 კრედიტი</w:t>
      </w:r>
      <w:r>
        <w:rPr>
          <w:rFonts w:asciiTheme="minorHAnsi" w:hAnsiTheme="minorHAnsi" w:cstheme="minorHAnsi"/>
          <w:szCs w:val="24"/>
          <w:lang w:val="ka-GE" w:eastAsia="en-US"/>
        </w:rPr>
        <w:t xml:space="preserve">; </w:t>
      </w:r>
      <w:r w:rsidRPr="007E6561">
        <w:rPr>
          <w:rFonts w:asciiTheme="minorHAnsi" w:hAnsiTheme="minorHAnsi" w:cstheme="minorHAnsi"/>
          <w:szCs w:val="24"/>
          <w:lang w:val="ka-GE" w:eastAsia="en-US"/>
        </w:rPr>
        <w:t>პრაქტიკის ბლოკი- 10 კრედიტი</w:t>
      </w:r>
      <w:r>
        <w:rPr>
          <w:rFonts w:asciiTheme="minorHAnsi" w:hAnsiTheme="minorHAnsi" w:cstheme="minorHAnsi"/>
          <w:szCs w:val="24"/>
          <w:lang w:val="ka-GE" w:eastAsia="en-US"/>
        </w:rPr>
        <w:t xml:space="preserve">; </w:t>
      </w:r>
      <w:r w:rsidRPr="007E6561">
        <w:rPr>
          <w:rFonts w:asciiTheme="minorHAnsi" w:hAnsiTheme="minorHAnsi" w:cstheme="minorHAnsi"/>
          <w:szCs w:val="24"/>
          <w:lang w:val="ka-GE" w:eastAsia="en-US"/>
        </w:rPr>
        <w:t>თავისუფალი/არჩევითი კურსების ბლოკი- 18 კრედიტი (სტუდენტი არჩევანს აკეთებს შეთავაზებული 60 კრედიტიდან; 10 შეთავაზებული კურსიდან სტუდენტი ირჩევს 3 სასწავლო კურსს, რომელშიც 6 კრედიტი თავისუფალი კრედიტების ფარგლებში შეიძლება იყოს ათვისებული)</w:t>
      </w:r>
    </w:p>
    <w:p w14:paraId="1E752732" w14:textId="2DA43678" w:rsidR="007E6561" w:rsidRPr="007E6561" w:rsidRDefault="007E6561" w:rsidP="007E6561">
      <w:pPr>
        <w:pStyle w:val="BodyText"/>
        <w:spacing w:line="288" w:lineRule="auto"/>
        <w:jc w:val="left"/>
        <w:rPr>
          <w:rFonts w:asciiTheme="minorHAnsi" w:hAnsiTheme="minorHAnsi" w:cstheme="minorHAnsi"/>
          <w:szCs w:val="24"/>
          <w:lang w:val="ka-GE" w:eastAsia="en-US"/>
        </w:rPr>
      </w:pPr>
      <w:r w:rsidRPr="007E6561">
        <w:rPr>
          <w:rFonts w:asciiTheme="minorHAnsi" w:hAnsiTheme="minorHAnsi" w:cstheme="minorHAnsi"/>
          <w:szCs w:val="24"/>
          <w:lang w:val="ka-GE" w:eastAsia="en-US"/>
        </w:rPr>
        <w:t>სამაგისტრო ნაშრომი- 30 კრედიტი</w:t>
      </w:r>
      <w:r>
        <w:rPr>
          <w:rFonts w:asciiTheme="minorHAnsi" w:hAnsiTheme="minorHAnsi" w:cstheme="minorHAnsi"/>
          <w:szCs w:val="24"/>
          <w:lang w:val="ka-GE" w:eastAsia="en-US"/>
        </w:rPr>
        <w:t>.</w:t>
      </w:r>
    </w:p>
    <w:p w14:paraId="11AD301F" w14:textId="77777777" w:rsidR="00DB1163" w:rsidRPr="00DB1163" w:rsidRDefault="00DB1163" w:rsidP="00DB1163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 w:rsidRPr="00DB1163">
        <w:rPr>
          <w:rFonts w:asciiTheme="minorHAnsi" w:hAnsiTheme="minorHAnsi"/>
          <w:lang w:val="ka-GE"/>
        </w:rPr>
        <w:t>სასწავლო კურსები</w:t>
      </w:r>
    </w:p>
    <w:p w14:paraId="3C1BE24A" w14:textId="77777777" w:rsidR="00DB1163" w:rsidRDefault="00DB1163" w:rsidP="00DB1163">
      <w:pPr>
        <w:rPr>
          <w:b/>
          <w:highlight w:val="yellow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835"/>
        <w:gridCol w:w="1170"/>
        <w:gridCol w:w="1170"/>
      </w:tblGrid>
      <w:tr w:rsidR="00CC4E65" w:rsidRPr="00DB1163" w14:paraId="63261CD3" w14:textId="77777777" w:rsidTr="00CC4E65">
        <w:tc>
          <w:tcPr>
            <w:tcW w:w="6835" w:type="dxa"/>
          </w:tcPr>
          <w:p w14:paraId="14C5003C" w14:textId="77777777" w:rsidR="00CC4E65" w:rsidRPr="00DB1163" w:rsidRDefault="00CC4E65" w:rsidP="00EF4670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DB1163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კურსის დასახელება</w:t>
            </w:r>
          </w:p>
        </w:tc>
        <w:tc>
          <w:tcPr>
            <w:tcW w:w="1170" w:type="dxa"/>
          </w:tcPr>
          <w:p w14:paraId="34C0EDCA" w14:textId="7212E6C3" w:rsidR="00CC4E65" w:rsidRPr="00CC4E65" w:rsidRDefault="00CC4E65" w:rsidP="00EF4670">
            <w:pPr>
              <w:jc w:val="center"/>
              <w:rPr>
                <w:rFonts w:ascii="Sylfaen" w:hAnsi="Sylfaen" w:cstheme="minorHAnsi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theme="minorHAnsi"/>
                <w:b/>
                <w:sz w:val="22"/>
                <w:szCs w:val="22"/>
                <w:lang w:val="ka-GE"/>
              </w:rPr>
              <w:t>სემესტრი</w:t>
            </w:r>
          </w:p>
        </w:tc>
        <w:tc>
          <w:tcPr>
            <w:tcW w:w="1170" w:type="dxa"/>
          </w:tcPr>
          <w:p w14:paraId="64A6BEFC" w14:textId="01F1CFE3" w:rsidR="00CC4E65" w:rsidRPr="00DB1163" w:rsidRDefault="00CC4E65" w:rsidP="00EF46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DB1163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კრედიტი</w:t>
            </w:r>
          </w:p>
        </w:tc>
      </w:tr>
      <w:tr w:rsidR="00CC4E65" w:rsidRPr="00DB1163" w14:paraId="7299546C" w14:textId="77777777" w:rsidTr="00CC4E65">
        <w:tc>
          <w:tcPr>
            <w:tcW w:w="6835" w:type="dxa"/>
          </w:tcPr>
          <w:p w14:paraId="4AA84719" w14:textId="30F3C7B4" w:rsidR="00CC4E65" w:rsidRPr="00AE4BE2" w:rsidRDefault="00CC4E65" w:rsidP="00EF4670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AE4BE2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სავალდებულო კომპონენტი</w:t>
            </w:r>
          </w:p>
        </w:tc>
        <w:tc>
          <w:tcPr>
            <w:tcW w:w="1170" w:type="dxa"/>
          </w:tcPr>
          <w:p w14:paraId="0C03BFF3" w14:textId="5A2BA95F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34BC69EB" w14:textId="686F2C4F" w:rsidR="00CC4E65" w:rsidRPr="00AE4BE2" w:rsidRDefault="00CC4E65" w:rsidP="00CC4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72</w:t>
            </w:r>
          </w:p>
        </w:tc>
      </w:tr>
      <w:tr w:rsidR="00CC4E65" w:rsidRPr="00DB1163" w14:paraId="4D56946C" w14:textId="77777777" w:rsidTr="00CC4E65">
        <w:tc>
          <w:tcPr>
            <w:tcW w:w="6835" w:type="dxa"/>
          </w:tcPr>
          <w:p w14:paraId="482CB713" w14:textId="2A25FCFA" w:rsidR="00CC4E65" w:rsidRPr="007E6561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პოლიტიკა</w:t>
            </w:r>
          </w:p>
        </w:tc>
        <w:tc>
          <w:tcPr>
            <w:tcW w:w="1170" w:type="dxa"/>
          </w:tcPr>
          <w:p w14:paraId="794C08E7" w14:textId="51AF0FE9" w:rsidR="00CC4E65" w:rsidRDefault="00CC4E65" w:rsidP="00CC4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31CC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7678275F" w14:textId="06E77A50" w:rsidR="00CC4E65" w:rsidRPr="00AE4BE2" w:rsidRDefault="00CC4E65" w:rsidP="00CC4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3A793A3E" w14:textId="77777777" w:rsidTr="00CC4E65">
        <w:tc>
          <w:tcPr>
            <w:tcW w:w="6835" w:type="dxa"/>
          </w:tcPr>
          <w:p w14:paraId="0D88CF06" w14:textId="6DD24EC8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მართვის საკანონმდებლო ბაზა</w:t>
            </w:r>
          </w:p>
        </w:tc>
        <w:tc>
          <w:tcPr>
            <w:tcW w:w="1170" w:type="dxa"/>
          </w:tcPr>
          <w:p w14:paraId="64B99601" w14:textId="4402505C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B31CC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547AE036" w14:textId="74FE8ECF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16CB1358" w14:textId="77777777" w:rsidTr="00CC4E65">
        <w:tc>
          <w:tcPr>
            <w:tcW w:w="6835" w:type="dxa"/>
          </w:tcPr>
          <w:p w14:paraId="4E78D383" w14:textId="0F2008F8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კვლევის მეთოდები განათლებაში</w:t>
            </w:r>
          </w:p>
        </w:tc>
        <w:tc>
          <w:tcPr>
            <w:tcW w:w="1170" w:type="dxa"/>
          </w:tcPr>
          <w:p w14:paraId="6458B37C" w14:textId="27D1B6C9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B31CC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0C573012" w14:textId="3EBC997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3835611A" w14:textId="77777777" w:rsidTr="00CC4E65">
        <w:tc>
          <w:tcPr>
            <w:tcW w:w="6835" w:type="dxa"/>
          </w:tcPr>
          <w:p w14:paraId="07B1DCA8" w14:textId="601EE29C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თეორიები და ფსიქოლოგია</w:t>
            </w:r>
          </w:p>
        </w:tc>
        <w:tc>
          <w:tcPr>
            <w:tcW w:w="1170" w:type="dxa"/>
          </w:tcPr>
          <w:p w14:paraId="77D25C6B" w14:textId="335DFCEF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B31CC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4D6AC9A9" w14:textId="39EA97E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7</w:t>
            </w:r>
          </w:p>
        </w:tc>
      </w:tr>
      <w:tr w:rsidR="00CC4E65" w:rsidRPr="00DB1163" w14:paraId="35C7DD75" w14:textId="77777777" w:rsidTr="00CC4E65">
        <w:tc>
          <w:tcPr>
            <w:tcW w:w="6835" w:type="dxa"/>
          </w:tcPr>
          <w:p w14:paraId="13E2FAF2" w14:textId="51BF5C13" w:rsidR="00CC4E65" w:rsidRPr="004A560F" w:rsidRDefault="00CC4E65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ხარისხის მართვა</w:t>
            </w:r>
          </w:p>
        </w:tc>
        <w:tc>
          <w:tcPr>
            <w:tcW w:w="1170" w:type="dxa"/>
          </w:tcPr>
          <w:p w14:paraId="4B4A1D2A" w14:textId="708DCD70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05C1D0E3" w14:textId="5C307D7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17BC52AA" w14:textId="77777777" w:rsidTr="00CC4E65">
        <w:tc>
          <w:tcPr>
            <w:tcW w:w="6835" w:type="dxa"/>
          </w:tcPr>
          <w:p w14:paraId="4F879EE7" w14:textId="1B01EE42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ლიდერობა და ცვლილებების მენეჯმენტი განათლებაში</w:t>
            </w:r>
          </w:p>
        </w:tc>
        <w:tc>
          <w:tcPr>
            <w:tcW w:w="1170" w:type="dxa"/>
          </w:tcPr>
          <w:p w14:paraId="40E8DD92" w14:textId="576C62B8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E55AF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20E7F61C" w14:textId="754DB36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1BA9DEC4" w14:textId="77777777" w:rsidTr="00CC4E65">
        <w:tc>
          <w:tcPr>
            <w:tcW w:w="6835" w:type="dxa"/>
          </w:tcPr>
          <w:p w14:paraId="55D0FF45" w14:textId="724678CB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დაფინანსება და ბიუჯეტირება</w:t>
            </w:r>
          </w:p>
        </w:tc>
        <w:tc>
          <w:tcPr>
            <w:tcW w:w="1170" w:type="dxa"/>
          </w:tcPr>
          <w:p w14:paraId="657D485B" w14:textId="74141691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E55AF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4DDDD208" w14:textId="408911D1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61F0048D" w14:textId="77777777" w:rsidTr="00CC4E65">
        <w:tc>
          <w:tcPr>
            <w:tcW w:w="6835" w:type="dxa"/>
          </w:tcPr>
          <w:p w14:paraId="66B5A4C5" w14:textId="11787229" w:rsidR="00CC4E65" w:rsidRPr="007E6561" w:rsidRDefault="00CC4E65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ადამიანური რესურსების მართვა</w:t>
            </w:r>
          </w:p>
        </w:tc>
        <w:tc>
          <w:tcPr>
            <w:tcW w:w="1170" w:type="dxa"/>
          </w:tcPr>
          <w:p w14:paraId="47C75CB6" w14:textId="313F3FBF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617F0BAE" w14:textId="124DA533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7</w:t>
            </w:r>
          </w:p>
        </w:tc>
      </w:tr>
      <w:tr w:rsidR="00CC4E65" w:rsidRPr="00DB1163" w14:paraId="752A761D" w14:textId="77777777" w:rsidTr="00CC4E65">
        <w:tc>
          <w:tcPr>
            <w:tcW w:w="6835" w:type="dxa"/>
          </w:tcPr>
          <w:p w14:paraId="5ED3CA10" w14:textId="5D9C3EF8" w:rsidR="00CC4E65" w:rsidRPr="004A560F" w:rsidRDefault="00CC4E65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1170" w:type="dxa"/>
          </w:tcPr>
          <w:p w14:paraId="194864E8" w14:textId="0B1E829A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DFB9EE0" w14:textId="463C7B06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CC4E65" w:rsidRPr="00DB1163" w14:paraId="39247314" w14:textId="77777777" w:rsidTr="00CC4E65">
        <w:tc>
          <w:tcPr>
            <w:tcW w:w="6835" w:type="dxa"/>
          </w:tcPr>
          <w:p w14:paraId="7902243A" w14:textId="3C134EE8" w:rsidR="00CC4E65" w:rsidRPr="00C62EA5" w:rsidRDefault="00CC4E65" w:rsidP="004A560F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C62EA5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არჩევითი კომპონენტი</w:t>
            </w:r>
          </w:p>
        </w:tc>
        <w:tc>
          <w:tcPr>
            <w:tcW w:w="1170" w:type="dxa"/>
          </w:tcPr>
          <w:p w14:paraId="7043918F" w14:textId="77777777" w:rsid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6234C246" w14:textId="0953D5F3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18</w:t>
            </w:r>
          </w:p>
        </w:tc>
      </w:tr>
      <w:tr w:rsidR="00CC4E65" w:rsidRPr="00DB1163" w14:paraId="75C968CF" w14:textId="77777777" w:rsidTr="00CC4E65">
        <w:tc>
          <w:tcPr>
            <w:tcW w:w="6835" w:type="dxa"/>
          </w:tcPr>
          <w:p w14:paraId="465FA7BF" w14:textId="5918E555" w:rsidR="00CC4E65" w:rsidRPr="004A560F" w:rsidRDefault="00CC4E65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ინკლუზიური განათლება</w:t>
            </w:r>
          </w:p>
        </w:tc>
        <w:tc>
          <w:tcPr>
            <w:tcW w:w="1170" w:type="dxa"/>
          </w:tcPr>
          <w:p w14:paraId="4570620A" w14:textId="1C0103DA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5EB3304A" w14:textId="6B340352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0A0FBCF9" w14:textId="77777777" w:rsidTr="00CC4E65">
        <w:tc>
          <w:tcPr>
            <w:tcW w:w="6835" w:type="dxa"/>
          </w:tcPr>
          <w:p w14:paraId="60DBF013" w14:textId="731A8159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სტრატეგიული განვითარება განათლებაში</w:t>
            </w:r>
          </w:p>
        </w:tc>
        <w:tc>
          <w:tcPr>
            <w:tcW w:w="1170" w:type="dxa"/>
          </w:tcPr>
          <w:p w14:paraId="2E0AE4A5" w14:textId="3FA1F94D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7095F818" w14:textId="036E003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34215031" w14:textId="77777777" w:rsidTr="00CC4E65">
        <w:tc>
          <w:tcPr>
            <w:tcW w:w="6835" w:type="dxa"/>
          </w:tcPr>
          <w:p w14:paraId="18D142F9" w14:textId="13E8C40B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ინფორმაციული საკომუნიკაციო ტექნოლოგიები განათლებაში</w:t>
            </w:r>
          </w:p>
        </w:tc>
        <w:tc>
          <w:tcPr>
            <w:tcW w:w="1170" w:type="dxa"/>
          </w:tcPr>
          <w:p w14:paraId="56F1C76F" w14:textId="43E5D25E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2F030BDF" w14:textId="72F25D4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7FB1812E" w14:textId="77777777" w:rsidTr="00CC4E65">
        <w:tc>
          <w:tcPr>
            <w:tcW w:w="6835" w:type="dxa"/>
          </w:tcPr>
          <w:p w14:paraId="7D0E2EFB" w14:textId="3E584D9D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ინგლისური ენა აკადემიური მიზნებისთვის</w:t>
            </w:r>
          </w:p>
        </w:tc>
        <w:tc>
          <w:tcPr>
            <w:tcW w:w="1170" w:type="dxa"/>
          </w:tcPr>
          <w:p w14:paraId="121F65DD" w14:textId="62C4405B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242D4274" w14:textId="147CC85D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4CCAA6F4" w14:textId="77777777" w:rsidTr="00CC4E65">
        <w:tc>
          <w:tcPr>
            <w:tcW w:w="6835" w:type="dxa"/>
          </w:tcPr>
          <w:p w14:paraId="57B5D099" w14:textId="39795D27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სკოლის ადმინისტრირება</w:t>
            </w:r>
          </w:p>
        </w:tc>
        <w:tc>
          <w:tcPr>
            <w:tcW w:w="1170" w:type="dxa"/>
          </w:tcPr>
          <w:p w14:paraId="0C98F2AB" w14:textId="1DE5C59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75106667" w14:textId="59938D1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12071F6D" w14:textId="77777777" w:rsidTr="00CC4E65">
        <w:tc>
          <w:tcPr>
            <w:tcW w:w="6835" w:type="dxa"/>
          </w:tcPr>
          <w:p w14:paraId="1573B902" w14:textId="1476E651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კურიკულუმი და შეფასება</w:t>
            </w:r>
          </w:p>
        </w:tc>
        <w:tc>
          <w:tcPr>
            <w:tcW w:w="1170" w:type="dxa"/>
          </w:tcPr>
          <w:p w14:paraId="06135D65" w14:textId="12DA063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138D3774" w14:textId="62A243E4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5049FEF5" w14:textId="77777777" w:rsidTr="00CC4E65">
        <w:tc>
          <w:tcPr>
            <w:tcW w:w="6835" w:type="dxa"/>
          </w:tcPr>
          <w:p w14:paraId="364D4BB3" w14:textId="00D522A8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პროექტის მართვა</w:t>
            </w:r>
          </w:p>
        </w:tc>
        <w:tc>
          <w:tcPr>
            <w:tcW w:w="1170" w:type="dxa"/>
          </w:tcPr>
          <w:p w14:paraId="099D48A0" w14:textId="512DA6C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4E5DE738" w14:textId="2FF29DD2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45F8A8D2" w14:textId="77777777" w:rsidTr="00CC4E65">
        <w:tc>
          <w:tcPr>
            <w:tcW w:w="6835" w:type="dxa"/>
          </w:tcPr>
          <w:p w14:paraId="79349C3B" w14:textId="595373E6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გლობალური განათლება და ქართული განათლების ისტორია</w:t>
            </w:r>
          </w:p>
        </w:tc>
        <w:tc>
          <w:tcPr>
            <w:tcW w:w="1170" w:type="dxa"/>
          </w:tcPr>
          <w:p w14:paraId="4B574BCA" w14:textId="5F63F39D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725A83B5" w14:textId="71F7D29A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6C7EE272" w14:textId="77777777" w:rsidTr="00CC4E65">
        <w:tc>
          <w:tcPr>
            <w:tcW w:w="6835" w:type="dxa"/>
          </w:tcPr>
          <w:p w14:paraId="7D313EDB" w14:textId="74E4D60E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სოციოლოგია</w:t>
            </w:r>
          </w:p>
        </w:tc>
        <w:tc>
          <w:tcPr>
            <w:tcW w:w="1170" w:type="dxa"/>
          </w:tcPr>
          <w:p w14:paraId="70EBEF3C" w14:textId="1885A74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65454C4C" w14:textId="6F03694F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52E2225C" w14:textId="77777777" w:rsidTr="00CC4E65">
        <w:tc>
          <w:tcPr>
            <w:tcW w:w="6835" w:type="dxa"/>
          </w:tcPr>
          <w:p w14:paraId="5AC22F2A" w14:textId="4426DC1A" w:rsidR="00CC4E65" w:rsidRPr="004A560F" w:rsidRDefault="00CC4E65" w:rsidP="00CC4E65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7E656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უმაღლესი განათლების ადმინისტრირება</w:t>
            </w:r>
          </w:p>
        </w:tc>
        <w:tc>
          <w:tcPr>
            <w:tcW w:w="1170" w:type="dxa"/>
          </w:tcPr>
          <w:p w14:paraId="5FF9B88A" w14:textId="5A6F0F15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F620B5">
              <w:rPr>
                <w:rFonts w:asciiTheme="minorHAnsi" w:hAnsiTheme="minorHAnsi" w:cstheme="minorHAnsi"/>
                <w:bCs/>
                <w:sz w:val="20"/>
                <w:szCs w:val="20"/>
              </w:rPr>
              <w:t>II/III</w:t>
            </w:r>
          </w:p>
        </w:tc>
        <w:tc>
          <w:tcPr>
            <w:tcW w:w="1170" w:type="dxa"/>
          </w:tcPr>
          <w:p w14:paraId="669852EB" w14:textId="2645D499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CC4E65" w:rsidRPr="00DB1163" w14:paraId="45F2E759" w14:textId="77777777" w:rsidTr="00CC4E65">
        <w:tc>
          <w:tcPr>
            <w:tcW w:w="6835" w:type="dxa"/>
          </w:tcPr>
          <w:p w14:paraId="41C6DA5D" w14:textId="414DC24B" w:rsidR="00CC4E65" w:rsidRPr="00C62EA5" w:rsidRDefault="00CC4E65" w:rsidP="004A560F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C62EA5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კვლევითი კომპონენტი</w:t>
            </w:r>
          </w:p>
        </w:tc>
        <w:tc>
          <w:tcPr>
            <w:tcW w:w="1170" w:type="dxa"/>
          </w:tcPr>
          <w:p w14:paraId="7067C439" w14:textId="77777777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04B40811" w14:textId="0A296080" w:rsidR="00CC4E65" w:rsidRPr="004A560F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30</w:t>
            </w:r>
          </w:p>
        </w:tc>
      </w:tr>
      <w:tr w:rsidR="00CC4E65" w:rsidRPr="00DB1163" w14:paraId="6E0DEA05" w14:textId="77777777" w:rsidTr="00CC4E65">
        <w:tc>
          <w:tcPr>
            <w:tcW w:w="6835" w:type="dxa"/>
          </w:tcPr>
          <w:p w14:paraId="51ED014D" w14:textId="19DCD7C4" w:rsidR="00CC4E65" w:rsidRPr="004A560F" w:rsidRDefault="00CC4E65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170" w:type="dxa"/>
          </w:tcPr>
          <w:p w14:paraId="3947D4E2" w14:textId="7F2E0159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170" w:type="dxa"/>
          </w:tcPr>
          <w:p w14:paraId="0C57D160" w14:textId="6F6EC833" w:rsidR="00CC4E65" w:rsidRPr="00CC4E65" w:rsidRDefault="00CC4E65" w:rsidP="00CC4E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</w:tr>
    </w:tbl>
    <w:p w14:paraId="6E52FB2D" w14:textId="788889A4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</w:p>
    <w:p w14:paraId="6ADEDE7F" w14:textId="6D116F46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სწავლის შედეგები</w:t>
      </w:r>
    </w:p>
    <w:p w14:paraId="43C14A1C" w14:textId="77777777" w:rsidR="003D49ED" w:rsidRPr="001D29A4" w:rsidRDefault="003D49ED" w:rsidP="00D16AD2">
      <w:pPr>
        <w:pStyle w:val="abzacixml"/>
        <w:rPr>
          <w:rFonts w:asciiTheme="minorHAnsi" w:hAnsiTheme="minorHAnsi" w:cstheme="minorHAnsi"/>
          <w:sz w:val="24"/>
          <w:szCs w:val="24"/>
          <w:lang w:val="ka-GE"/>
        </w:rPr>
      </w:pPr>
      <w:r w:rsidRPr="001D29A4">
        <w:rPr>
          <w:rFonts w:asciiTheme="minorHAnsi" w:hAnsiTheme="minorHAnsi" w:cstheme="minorHAnsi"/>
          <w:sz w:val="24"/>
          <w:szCs w:val="24"/>
          <w:lang w:val="ka-GE"/>
        </w:rPr>
        <w:t>პროგრამის დასრულებისას სტუდენტი შეძლებს დარგობრივი თეორიების, პრინციპების, პრაქტიკის, მიმდინარე ცვლილებების განსაზღვრასა და სირთულეების იდენტიფიცირებას:</w:t>
      </w:r>
    </w:p>
    <w:p w14:paraId="6944EEFC" w14:textId="43ECBE5B" w:rsidR="003D49ED" w:rsidRPr="001D29A4" w:rsidRDefault="003D49ED" w:rsidP="001D29A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ka-GE"/>
        </w:rPr>
      </w:pPr>
      <w:r w:rsidRPr="001D29A4">
        <w:rPr>
          <w:rFonts w:asciiTheme="minorHAnsi" w:hAnsiTheme="minorHAnsi" w:cstheme="minorHAnsi"/>
          <w:lang w:val="ka-GE"/>
        </w:rPr>
        <w:lastRenderedPageBreak/>
        <w:t>განათლებასთან და მის ადმინისტრირებასთან დაკავშირებული  სისტემის, ისტორიის, თეორიების, რეფორმებისა და პროფესიული ეთიკის აღწერა და რეპროდუცირება;</w:t>
      </w:r>
    </w:p>
    <w:p w14:paraId="14911915" w14:textId="4EDC8A0A" w:rsidR="003D49ED" w:rsidRPr="001D29A4" w:rsidRDefault="003D49ED" w:rsidP="001D29A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ka-GE"/>
        </w:rPr>
      </w:pPr>
      <w:bookmarkStart w:id="0" w:name="_Hlk46515946"/>
      <w:r w:rsidRPr="001D29A4">
        <w:rPr>
          <w:rFonts w:asciiTheme="minorHAnsi" w:hAnsiTheme="minorHAnsi" w:cstheme="minorHAnsi"/>
          <w:lang w:val="ka-GE"/>
        </w:rPr>
        <w:t xml:space="preserve">განათლების ადმინისტრირების პრინციპებისა და წარმატებული პრაქტიკის </w:t>
      </w:r>
      <w:r w:rsidR="00D16AD2">
        <w:rPr>
          <w:rFonts w:asciiTheme="minorHAnsi" w:hAnsiTheme="minorHAnsi" w:cstheme="minorHAnsi"/>
          <w:lang w:val="ka-GE"/>
        </w:rPr>
        <w:t>სიღრმისეული და სისტემური ანალიზი</w:t>
      </w:r>
      <w:r w:rsidRPr="001D29A4">
        <w:rPr>
          <w:rFonts w:asciiTheme="minorHAnsi" w:hAnsiTheme="minorHAnsi" w:cstheme="minorHAnsi"/>
          <w:lang w:val="ka-GE"/>
        </w:rPr>
        <w:t xml:space="preserve">; </w:t>
      </w:r>
    </w:p>
    <w:bookmarkEnd w:id="0"/>
    <w:p w14:paraId="1D7C04CF" w14:textId="07D07FB6" w:rsidR="003D49ED" w:rsidRPr="001D29A4" w:rsidRDefault="003D49ED" w:rsidP="001D29A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lang w:val="ka-GE"/>
        </w:rPr>
      </w:pPr>
      <w:r w:rsidRPr="001D29A4">
        <w:rPr>
          <w:rFonts w:asciiTheme="minorHAnsi" w:hAnsiTheme="minorHAnsi" w:cstheme="minorHAnsi"/>
          <w:lang w:val="ka-GE"/>
        </w:rPr>
        <w:t>განათლების სისტემის ძირითადი გამოწვევების კრიტიკული გააზრება საზოგადოებისა და დაინტერესებული  მხარეების მოთხოვნათა დასაკმაყოფილებლად და ორიგინალური იდეების განვითარებისთვის</w:t>
      </w:r>
      <w:r w:rsidR="00D16AD2">
        <w:rPr>
          <w:rFonts w:asciiTheme="minorHAnsi" w:hAnsiTheme="minorHAnsi" w:cstheme="minorHAnsi"/>
          <w:lang w:val="ka-GE"/>
        </w:rPr>
        <w:t>;</w:t>
      </w:r>
    </w:p>
    <w:p w14:paraId="39D14C4C" w14:textId="77777777" w:rsidR="003D49ED" w:rsidRPr="001D29A4" w:rsidRDefault="003D49ED" w:rsidP="003D49ED">
      <w:pPr>
        <w:pStyle w:val="ListParagraph"/>
        <w:ind w:left="0"/>
        <w:rPr>
          <w:rFonts w:asciiTheme="minorHAnsi" w:hAnsiTheme="minorHAnsi" w:cstheme="minorHAnsi"/>
          <w:lang w:val="ka-GE"/>
        </w:rPr>
      </w:pPr>
    </w:p>
    <w:p w14:paraId="0E5668A8" w14:textId="786C1157" w:rsidR="003D49ED" w:rsidRPr="001D29A4" w:rsidRDefault="003D49ED" w:rsidP="001D29A4">
      <w:pPr>
        <w:pStyle w:val="abzacixml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1D29A4">
        <w:rPr>
          <w:rFonts w:asciiTheme="minorHAnsi" w:hAnsiTheme="minorHAnsi" w:cstheme="minorHAnsi"/>
          <w:sz w:val="24"/>
          <w:szCs w:val="24"/>
          <w:lang w:val="ka-GE"/>
        </w:rPr>
        <w:t>უნარი  გამოიყენოს დარგის ღრმა და სისტემური თეორიული ცოდნა მუშაობისას, კომპლექსური პრობლემების ახლებურად გადაჭრისას და განათლების სფეროსთვის დამახასიათებელი პროექტების, კვლევის დამოუკიდებლად და აკადემიური კეთილსინდისიერების პრინციპების დაცვით დაგეგმვისას და განხორციელებისას;</w:t>
      </w:r>
    </w:p>
    <w:p w14:paraId="23F9A7AF" w14:textId="0CC9626D" w:rsidR="003D49ED" w:rsidRDefault="003D49ED" w:rsidP="001D29A4">
      <w:pPr>
        <w:pStyle w:val="a4"/>
        <w:numPr>
          <w:ilvl w:val="0"/>
          <w:numId w:val="26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1D29A4">
        <w:rPr>
          <w:rFonts w:asciiTheme="minorHAnsi" w:hAnsiTheme="minorHAnsi" w:cstheme="minorHAnsi"/>
          <w:b w:val="0"/>
          <w:lang w:val="ka-GE"/>
        </w:rPr>
        <w:t xml:space="preserve">უნარი გამოიყენოს შესაბამისი მეთოდები მასალების შეგროვებისას, ილუსტრირებისას, ინტერპრეტირებისას, შეფასებისას, რეკომენდაციების მომზადებისას და წარდგენისას;  </w:t>
      </w:r>
    </w:p>
    <w:p w14:paraId="24D1BA3A" w14:textId="3EE1245B" w:rsidR="00D16AD2" w:rsidRPr="00D16AD2" w:rsidRDefault="00D16AD2" w:rsidP="00D16AD2">
      <w:pPr>
        <w:pStyle w:val="a4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b w:val="0"/>
          <w:lang w:val="ka-GE"/>
        </w:rPr>
      </w:pPr>
      <w:r w:rsidRPr="001D29A4">
        <w:rPr>
          <w:rFonts w:asciiTheme="minorHAnsi" w:hAnsiTheme="minorHAnsi" w:cstheme="minorHAnsi"/>
          <w:b w:val="0"/>
          <w:lang w:val="ka-GE"/>
        </w:rPr>
        <w:t>წერილობითი თუ ზეპირსიტყვიერი, პროფესიულ საზოგადოებაში საკუთარი აზრის ფორმულირებისა და არგუმენტირების უნარი.</w:t>
      </w:r>
    </w:p>
    <w:p w14:paraId="29155735" w14:textId="4333086F" w:rsidR="00B435B5" w:rsidRPr="00C23D04" w:rsidRDefault="003D49ED" w:rsidP="00C23D0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lang w:val="ka-GE"/>
        </w:rPr>
      </w:pPr>
      <w:r w:rsidRPr="001D29A4">
        <w:rPr>
          <w:rFonts w:asciiTheme="minorHAnsi" w:hAnsiTheme="minorHAnsi" w:cstheme="minorHAnsi"/>
          <w:lang w:val="ka-GE"/>
        </w:rPr>
        <w:t xml:space="preserve">თვით- და ურთიერთშეფასების,  დამოუკიდებელად სწავლის სტრატეგიული დაგეგმვის, მოდიფიცირებისა და რეალიზების უნარი.  </w:t>
      </w:r>
    </w:p>
    <w:p w14:paraId="766BB4AF" w14:textId="77777777" w:rsidR="005945C6" w:rsidRDefault="005945C6" w:rsidP="00FD29D6">
      <w:pPr>
        <w:rPr>
          <w:rFonts w:ascii="Sylfaen" w:hAnsi="Sylfaen"/>
          <w:b/>
          <w:highlight w:val="green"/>
          <w:lang w:val="ka-GE"/>
        </w:rPr>
      </w:pPr>
    </w:p>
    <w:p w14:paraId="36DC9377" w14:textId="237A1541" w:rsidR="004A560F" w:rsidRDefault="00F924EA" w:rsidP="004A560F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შეფასების სისტემა</w:t>
      </w:r>
    </w:p>
    <w:p w14:paraId="5ED73BDE" w14:textId="77777777" w:rsidR="005945C6" w:rsidRPr="004A560F" w:rsidRDefault="005945C6" w:rsidP="00FD29D6">
      <w:pPr>
        <w:rPr>
          <w:rFonts w:asciiTheme="minorHAnsi" w:hAnsiTheme="minorHAnsi" w:cstheme="minorHAnsi"/>
          <w:b/>
          <w:highlight w:val="green"/>
          <w:lang w:val="ka-GE"/>
        </w:rPr>
      </w:pPr>
    </w:p>
    <w:p w14:paraId="4E31A370" w14:textId="77777777" w:rsidR="004A560F" w:rsidRPr="004A560F" w:rsidRDefault="004A560F" w:rsidP="004A560F">
      <w:pPr>
        <w:spacing w:after="120" w:line="288" w:lineRule="auto"/>
        <w:jc w:val="both"/>
        <w:rPr>
          <w:rFonts w:asciiTheme="minorHAnsi" w:hAnsiTheme="minorHAnsi" w:cstheme="minorHAnsi"/>
          <w:bCs/>
          <w:noProof/>
          <w:lang w:val="ka-GE"/>
        </w:rPr>
      </w:pPr>
      <w:r w:rsidRPr="004A560F">
        <w:rPr>
          <w:rFonts w:asciiTheme="minorHAnsi" w:hAnsiTheme="minorHAnsi" w:cstheme="minorHAnsi"/>
          <w:bCs/>
          <w:noProof/>
          <w:lang w:val="ka-GE"/>
        </w:rPr>
        <w:t>შეფასების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მიზანია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ხარისხობრივად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განსაზღვროს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სტუდენტის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სწავლის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შედეგები აკადემიური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პროგრამის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მიზნებთან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და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პარამეტრებთან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მიმართებაში</w:t>
      </w:r>
      <w:r w:rsidRPr="004A560F">
        <w:rPr>
          <w:rFonts w:asciiTheme="minorHAnsi" w:hAnsiTheme="minorHAnsi" w:cstheme="minorHAnsi"/>
          <w:bCs/>
          <w:noProof/>
          <w:lang w:val="gl-ES"/>
        </w:rPr>
        <w:t>.</w:t>
      </w:r>
    </w:p>
    <w:p w14:paraId="6157CC7D" w14:textId="77777777" w:rsidR="004A560F" w:rsidRPr="004A560F" w:rsidRDefault="004A560F" w:rsidP="004A56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72"/>
        </w:rPr>
      </w:pPr>
      <w:r w:rsidRPr="004A560F">
        <w:rPr>
          <w:rFonts w:asciiTheme="minorHAnsi" w:hAnsiTheme="minorHAnsi" w:cstheme="minorHAnsi"/>
          <w:lang w:val="ka-GE"/>
        </w:rPr>
        <w:t>სტუდენტის ცოდნის შეფასება ხორციელდება ზეპირი და</w:t>
      </w:r>
      <w:r w:rsidRPr="004A560F">
        <w:rPr>
          <w:rFonts w:asciiTheme="minorHAnsi" w:hAnsiTheme="minorHAnsi" w:cstheme="minorHAnsi"/>
        </w:rPr>
        <w:t>/</w:t>
      </w:r>
      <w:r w:rsidRPr="004A560F">
        <w:rPr>
          <w:rFonts w:asciiTheme="minorHAnsi" w:hAnsiTheme="minorHAnsi" w:cstheme="minorHAnsi"/>
          <w:lang w:val="ka-GE"/>
        </w:rPr>
        <w:t xml:space="preserve">ან წერილობითი ფორმით. </w:t>
      </w:r>
      <w:r w:rsidRPr="004A560F">
        <w:rPr>
          <w:rFonts w:asciiTheme="minorHAnsi" w:hAnsiTheme="minorHAnsi" w:cstheme="minorHAnsi"/>
          <w:kern w:val="72"/>
          <w:lang w:val="it-IT"/>
        </w:rPr>
        <w:t>სასწავლო კურს</w:t>
      </w:r>
      <w:r w:rsidRPr="004A560F">
        <w:rPr>
          <w:rFonts w:asciiTheme="minorHAnsi" w:hAnsiTheme="minorHAnsi" w:cstheme="minorHAnsi"/>
          <w:kern w:val="72"/>
          <w:lang w:val="ka-GE"/>
        </w:rPr>
        <w:t>ის/კომპონენტის მაქსიმალური</w:t>
      </w:r>
      <w:r w:rsidRPr="004A560F">
        <w:rPr>
          <w:rFonts w:asciiTheme="minorHAnsi" w:hAnsiTheme="minorHAnsi" w:cstheme="minorHAnsi"/>
          <w:kern w:val="72"/>
          <w:lang w:val="it-IT"/>
        </w:rPr>
        <w:t xml:space="preserve"> </w:t>
      </w:r>
      <w:r w:rsidRPr="004A560F">
        <w:rPr>
          <w:rFonts w:asciiTheme="minorHAnsi" w:hAnsiTheme="minorHAnsi" w:cstheme="minorHAnsi"/>
          <w:kern w:val="72"/>
          <w:lang w:val="ka-GE"/>
        </w:rPr>
        <w:t>შეფასება</w:t>
      </w:r>
      <w:r w:rsidRPr="004A560F">
        <w:rPr>
          <w:rFonts w:asciiTheme="minorHAnsi" w:hAnsiTheme="minorHAnsi" w:cstheme="minorHAnsi"/>
          <w:kern w:val="72"/>
          <w:lang w:val="it-IT"/>
        </w:rPr>
        <w:t xml:space="preserve"> 100 ქული</w:t>
      </w:r>
      <w:r w:rsidRPr="004A560F">
        <w:rPr>
          <w:rFonts w:asciiTheme="minorHAnsi" w:hAnsiTheme="minorHAnsi" w:cstheme="minorHAnsi"/>
          <w:kern w:val="72"/>
          <w:lang w:val="ka-GE"/>
        </w:rPr>
        <w:t>ს ტოლია. შეფასება ითვალისწინებს შუალედურ და დასკვნით შეფასებას, რომელთა ჯამი შეადგენს 100 ქულას.</w:t>
      </w:r>
    </w:p>
    <w:p w14:paraId="004CB839" w14:textId="77777777" w:rsidR="004A560F" w:rsidRPr="004A560F" w:rsidRDefault="004A560F" w:rsidP="004A560F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ka-GE"/>
        </w:rPr>
      </w:pPr>
      <w:r w:rsidRPr="004A560F">
        <w:rPr>
          <w:rFonts w:asciiTheme="minorHAnsi" w:hAnsiTheme="minorHAnsi" w:cstheme="minorHAnsi"/>
          <w:color w:val="000000"/>
          <w:lang w:val="ka-GE"/>
        </w:rPr>
        <w:t>შეფასების სისტემა უშვებს:</w:t>
      </w:r>
    </w:p>
    <w:p w14:paraId="1A4409E6" w14:textId="77777777" w:rsidR="004A560F" w:rsidRPr="004A560F" w:rsidRDefault="004A560F" w:rsidP="004A560F">
      <w:pPr>
        <w:widowControl w:val="0"/>
        <w:autoSpaceDE w:val="0"/>
        <w:autoSpaceDN w:val="0"/>
        <w:adjustRightInd w:val="0"/>
        <w:ind w:left="900" w:firstLine="1251"/>
        <w:jc w:val="both"/>
        <w:rPr>
          <w:rFonts w:asciiTheme="minorHAnsi" w:hAnsiTheme="minorHAnsi" w:cstheme="minorHAnsi"/>
          <w:color w:val="000000"/>
          <w:lang w:val="ka-GE"/>
        </w:rPr>
      </w:pPr>
      <w:r w:rsidRPr="004A560F">
        <w:rPr>
          <w:rFonts w:asciiTheme="minorHAnsi" w:hAnsiTheme="minorHAnsi" w:cstheme="minorHAnsi"/>
          <w:color w:val="000000"/>
          <w:lang w:val="ka-GE"/>
        </w:rPr>
        <w:t>ხუთი სახის დადებით შეფასებას:</w:t>
      </w:r>
    </w:p>
    <w:p w14:paraId="3F3C6FF5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1) (</w:t>
      </w:r>
      <w:r w:rsidRPr="004A560F">
        <w:rPr>
          <w:rFonts w:asciiTheme="minorHAnsi" w:hAnsiTheme="minorHAnsi" w:cstheme="minorHAnsi"/>
        </w:rPr>
        <w:t>A</w:t>
      </w:r>
      <w:r w:rsidRPr="004A560F">
        <w:rPr>
          <w:rFonts w:asciiTheme="minorHAnsi" w:hAnsiTheme="minorHAnsi" w:cstheme="minorHAnsi"/>
          <w:lang w:val="ka-GE"/>
        </w:rPr>
        <w:t>) ფრიადი – შეფასების 91 - 100 ქულა;</w:t>
      </w:r>
    </w:p>
    <w:p w14:paraId="0C9FE314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2) (</w:t>
      </w:r>
      <w:r w:rsidRPr="004A560F">
        <w:rPr>
          <w:rFonts w:asciiTheme="minorHAnsi" w:hAnsiTheme="minorHAnsi" w:cstheme="minorHAnsi"/>
        </w:rPr>
        <w:t>B</w:t>
      </w:r>
      <w:r w:rsidRPr="004A560F">
        <w:rPr>
          <w:rFonts w:asciiTheme="minorHAnsi" w:hAnsiTheme="minorHAnsi" w:cstheme="minorHAnsi"/>
          <w:lang w:val="ka-GE"/>
        </w:rPr>
        <w:t>) ძალიან კარგი – მაქსიმალური შეფასების 81 - 90 ქულა;</w:t>
      </w:r>
    </w:p>
    <w:p w14:paraId="6CD7307C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3) (</w:t>
      </w:r>
      <w:r w:rsidRPr="004A560F">
        <w:rPr>
          <w:rFonts w:asciiTheme="minorHAnsi" w:hAnsiTheme="minorHAnsi" w:cstheme="minorHAnsi"/>
        </w:rPr>
        <w:t>C</w:t>
      </w:r>
      <w:r w:rsidRPr="004A560F">
        <w:rPr>
          <w:rFonts w:asciiTheme="minorHAnsi" w:hAnsiTheme="minorHAnsi" w:cstheme="minorHAnsi"/>
          <w:lang w:val="ka-GE"/>
        </w:rPr>
        <w:t>) კარგი – მაქსიმალური შეფასების 71 - 80 ქულა;</w:t>
      </w:r>
    </w:p>
    <w:p w14:paraId="166BE40F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4) (</w:t>
      </w:r>
      <w:r w:rsidRPr="004A560F">
        <w:rPr>
          <w:rFonts w:asciiTheme="minorHAnsi" w:hAnsiTheme="minorHAnsi" w:cstheme="minorHAnsi"/>
        </w:rPr>
        <w:t>D</w:t>
      </w:r>
      <w:r w:rsidRPr="004A560F">
        <w:rPr>
          <w:rFonts w:asciiTheme="minorHAnsi" w:hAnsiTheme="minorHAnsi" w:cstheme="minorHAnsi"/>
          <w:lang w:val="ka-GE"/>
        </w:rPr>
        <w:t>) დამაკმაყოფილებელი – მაქსიმალური შეფასების 61 - 70 ქულა;</w:t>
      </w:r>
    </w:p>
    <w:p w14:paraId="4418D337" w14:textId="77777777" w:rsidR="004A560F" w:rsidRPr="004A560F" w:rsidRDefault="004A560F" w:rsidP="004A560F">
      <w:pPr>
        <w:ind w:left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5) (</w:t>
      </w:r>
      <w:r w:rsidRPr="004A560F">
        <w:rPr>
          <w:rFonts w:asciiTheme="minorHAnsi" w:hAnsiTheme="minorHAnsi" w:cstheme="minorHAnsi"/>
        </w:rPr>
        <w:t>E</w:t>
      </w:r>
      <w:r w:rsidRPr="004A560F">
        <w:rPr>
          <w:rFonts w:asciiTheme="minorHAnsi" w:hAnsiTheme="minorHAnsi" w:cstheme="minorHAnsi"/>
          <w:lang w:val="ka-GE"/>
        </w:rPr>
        <w:t>) საკმარისი – მაქსიმალური შეფასების 51 - 60 ქულა.</w:t>
      </w:r>
    </w:p>
    <w:p w14:paraId="076BAE90" w14:textId="77777777" w:rsidR="004A560F" w:rsidRPr="004A560F" w:rsidRDefault="004A560F" w:rsidP="004A560F">
      <w:pPr>
        <w:pStyle w:val="ListParagraph"/>
        <w:ind w:left="900" w:right="530" w:firstLine="12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ორი სახის უარყოფით  შეფასებას:</w:t>
      </w:r>
    </w:p>
    <w:p w14:paraId="49148C06" w14:textId="77777777" w:rsidR="004A560F" w:rsidRPr="004A560F" w:rsidRDefault="004A560F" w:rsidP="004A560F">
      <w:pPr>
        <w:pStyle w:val="Default"/>
        <w:spacing w:after="120"/>
        <w:ind w:left="284" w:right="42"/>
        <w:jc w:val="both"/>
        <w:rPr>
          <w:rFonts w:asciiTheme="minorHAnsi" w:hAnsiTheme="minorHAnsi" w:cstheme="minorHAnsi"/>
          <w:color w:val="auto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1)  </w:t>
      </w:r>
      <w:r w:rsidRPr="004A560F">
        <w:rPr>
          <w:rFonts w:asciiTheme="minorHAnsi" w:hAnsiTheme="minorHAnsi" w:cstheme="minorHAnsi"/>
          <w:color w:val="auto"/>
          <w:lang w:val="ka-GE"/>
        </w:rPr>
        <w:t>(FX) ვერ ჩააბარა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</w:r>
    </w:p>
    <w:p w14:paraId="344CA77C" w14:textId="77777777" w:rsidR="004A560F" w:rsidRPr="004A560F" w:rsidRDefault="004A560F" w:rsidP="004A560F">
      <w:pPr>
        <w:pStyle w:val="Default"/>
        <w:spacing w:after="120"/>
        <w:ind w:left="284" w:right="42"/>
        <w:jc w:val="both"/>
        <w:rPr>
          <w:rFonts w:asciiTheme="minorHAnsi" w:hAnsiTheme="minorHAnsi" w:cstheme="minorHAnsi"/>
          <w:color w:val="auto"/>
          <w:lang w:val="ka-GE"/>
        </w:rPr>
      </w:pPr>
      <w:r w:rsidRPr="004A560F">
        <w:rPr>
          <w:rFonts w:asciiTheme="minorHAnsi" w:hAnsiTheme="minorHAnsi" w:cstheme="minorHAnsi"/>
          <w:color w:val="auto"/>
          <w:lang w:val="ka-GE"/>
        </w:rPr>
        <w:lastRenderedPageBreak/>
        <w:t>2) 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</w:r>
    </w:p>
    <w:p w14:paraId="7BC209B3" w14:textId="77777777" w:rsidR="004A560F" w:rsidRPr="004A560F" w:rsidRDefault="004A560F" w:rsidP="004A560F">
      <w:pPr>
        <w:pStyle w:val="ListParagraph"/>
        <w:ind w:left="0" w:firstLine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შუალედური და დასკვნითი შეფასებებისთვის განსაზღვრულია მინიმალური კომპეტენციის ზღვარი. დასკვნითი შეფასების მინიმალური კომპეტენციის ზღვრის ხვედრითი წილი არ აღემატება დასკვნითი შეფასების 60%-ს. </w:t>
      </w:r>
    </w:p>
    <w:p w14:paraId="5DFB0712" w14:textId="77777777" w:rsidR="004A560F" w:rsidRPr="004A560F" w:rsidRDefault="004A560F" w:rsidP="004A560F">
      <w:pPr>
        <w:pStyle w:val="ListParagraph"/>
        <w:ind w:left="0" w:firstLine="360"/>
        <w:jc w:val="both"/>
        <w:rPr>
          <w:rFonts w:asciiTheme="minorHAnsi" w:hAnsiTheme="minorHAnsi" w:cstheme="minorHAnsi"/>
          <w:noProof/>
          <w:lang w:val="ka-GE"/>
        </w:rPr>
      </w:pPr>
      <w:r w:rsidRPr="004A560F">
        <w:rPr>
          <w:rFonts w:asciiTheme="minorHAnsi" w:hAnsiTheme="minorHAnsi" w:cstheme="minorHAnsi"/>
          <w:noProof/>
          <w:lang w:val="ka-GE"/>
        </w:rPr>
        <w:t xml:space="preserve">შუალედური და დასკვნითი შეფასებების ქულობრივი განაწილება,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სილაბუსში. </w:t>
      </w:r>
    </w:p>
    <w:p w14:paraId="66171BB1" w14:textId="77777777" w:rsidR="004A560F" w:rsidRPr="004A560F" w:rsidRDefault="004A560F" w:rsidP="004A560F">
      <w:pPr>
        <w:ind w:right="1" w:firstLine="360"/>
        <w:jc w:val="both"/>
        <w:rPr>
          <w:rFonts w:asciiTheme="minorHAnsi" w:hAnsiTheme="minorHAnsi" w:cstheme="minorHAnsi"/>
          <w:lang w:val="af-ZA"/>
        </w:rPr>
      </w:pPr>
      <w:r w:rsidRPr="004A560F">
        <w:rPr>
          <w:rFonts w:asciiTheme="minorHAnsi" w:hAnsiTheme="minorHAnsi" w:cstheme="minorHAnsi"/>
          <w:lang w:val="ka-GE"/>
        </w:rPr>
        <w:t>სამაგისტრო ნაშრომი ფასდება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 xml:space="preserve">მაქსიმუმ </w:t>
      </w:r>
      <w:r w:rsidRPr="004A560F">
        <w:rPr>
          <w:rFonts w:asciiTheme="minorHAnsi" w:hAnsiTheme="minorHAnsi" w:cstheme="minorHAnsi"/>
          <w:lang w:val="af-ZA"/>
        </w:rPr>
        <w:t>100 ქული</w:t>
      </w:r>
      <w:r w:rsidRPr="004A560F">
        <w:rPr>
          <w:rFonts w:asciiTheme="minorHAnsi" w:hAnsiTheme="minorHAnsi" w:cstheme="minorHAnsi"/>
          <w:lang w:val="ka-GE"/>
        </w:rPr>
        <w:t>თ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 xml:space="preserve">შემდეგი </w:t>
      </w:r>
      <w:r w:rsidRPr="004A560F">
        <w:rPr>
          <w:rFonts w:asciiTheme="minorHAnsi" w:hAnsiTheme="minorHAnsi" w:cstheme="minorHAnsi"/>
          <w:lang w:val="af-ZA"/>
        </w:rPr>
        <w:t>სისტემი</w:t>
      </w:r>
      <w:r w:rsidRPr="004A560F">
        <w:rPr>
          <w:rFonts w:asciiTheme="minorHAnsi" w:hAnsiTheme="minorHAnsi" w:cstheme="minorHAnsi"/>
          <w:lang w:val="ka-GE"/>
        </w:rPr>
        <w:t xml:space="preserve">ს მიხედვით: </w:t>
      </w:r>
    </w:p>
    <w:p w14:paraId="1F8E5176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ა</w:t>
      </w:r>
      <w:r w:rsidRPr="004A560F">
        <w:rPr>
          <w:rFonts w:asciiTheme="minorHAnsi" w:hAnsiTheme="minorHAnsi" w:cstheme="minorHAnsi"/>
          <w:lang w:val="ka-GE"/>
        </w:rPr>
        <w:t>)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>ფრიადი (summa cum laude) ( 91 ქულა და მეტი) - შესანიშნავი ნაშრომი;</w:t>
      </w:r>
    </w:p>
    <w:p w14:paraId="31D7CE85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ბ</w:t>
      </w:r>
      <w:r w:rsidRPr="004A560F">
        <w:rPr>
          <w:rFonts w:asciiTheme="minorHAnsi" w:hAnsiTheme="minorHAnsi" w:cstheme="minorHAnsi"/>
          <w:lang w:val="ka-GE"/>
        </w:rPr>
        <w:t>) ძალიან კარგი (magna cum laude) (81-90 ქულა)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>- შედეგი, რომელიც წაყენებულ   მოთხოვნებს ყოველმხრივ აღემატება;</w:t>
      </w:r>
    </w:p>
    <w:p w14:paraId="3F1A9610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გ</w:t>
      </w:r>
      <w:r w:rsidRPr="004A560F">
        <w:rPr>
          <w:rFonts w:asciiTheme="minorHAnsi" w:hAnsiTheme="minorHAnsi" w:cstheme="minorHAnsi"/>
          <w:lang w:val="ka-GE"/>
        </w:rPr>
        <w:t>) კარგი (cum laude) (71-80 ქულა) - შედეგი, რომელიც წაყენებულ მოთხოვნებს  აღემატება;</w:t>
      </w:r>
    </w:p>
    <w:p w14:paraId="79FBC42B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დ</w:t>
      </w:r>
      <w:r w:rsidRPr="004A560F">
        <w:rPr>
          <w:rFonts w:asciiTheme="minorHAnsi" w:hAnsiTheme="minorHAnsi" w:cstheme="minorHAnsi"/>
          <w:lang w:val="ka-GE"/>
        </w:rPr>
        <w:t>) საშუალო (bene) (61-70 ქულა) - შედეგი, რომელიც წაყენებულ მოთხოვნებს ყოველმხრივ აკმაყოფილებს;</w:t>
      </w:r>
    </w:p>
    <w:p w14:paraId="4AA19617" w14:textId="77777777" w:rsidR="004A560F" w:rsidRPr="004A560F" w:rsidRDefault="004A560F" w:rsidP="004A560F">
      <w:pPr>
        <w:ind w:right="1" w:hanging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      </w:t>
      </w:r>
      <w:r w:rsidRPr="004A560F">
        <w:rPr>
          <w:rFonts w:asciiTheme="minorHAnsi" w:hAnsiTheme="minorHAnsi" w:cstheme="minorHAnsi"/>
          <w:lang w:val="af-ZA"/>
        </w:rPr>
        <w:t>ე</w:t>
      </w:r>
      <w:r w:rsidRPr="004A560F">
        <w:rPr>
          <w:rFonts w:asciiTheme="minorHAnsi" w:hAnsiTheme="minorHAnsi" w:cstheme="minorHAnsi"/>
          <w:lang w:val="ka-GE"/>
        </w:rPr>
        <w:t>) დამაკმაყოფილებელი (rite) (51-60 ქულა) - შედეგი, რომელიც ხარვეზების მიუხედავად, წაყენებულ მოთხოვნებს მაინც აკმაყოფილებს;</w:t>
      </w:r>
    </w:p>
    <w:p w14:paraId="3407BC8F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ვ</w:t>
      </w:r>
      <w:r w:rsidRPr="004A560F">
        <w:rPr>
          <w:rFonts w:asciiTheme="minorHAnsi" w:hAnsiTheme="minorHAnsi" w:cstheme="minorHAnsi"/>
          <w:lang w:val="ka-GE"/>
        </w:rPr>
        <w:t>) არადამაკმაყოფილებელი (insufficienter) (41-50 ქულა) - შედეგი, რომელიც წაყენებულ მოთხოვნებს მნიშვნელოვანი ხარვეზების გამო ვერ აკმაყოფილებს;</w:t>
      </w:r>
    </w:p>
    <w:p w14:paraId="27D98960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ზ</w:t>
      </w:r>
      <w:r w:rsidRPr="004A560F">
        <w:rPr>
          <w:rFonts w:asciiTheme="minorHAnsi" w:hAnsiTheme="minorHAnsi" w:cstheme="minorHAnsi"/>
          <w:lang w:val="ka-GE"/>
        </w:rPr>
        <w:t>) სრულიად არადამაკმაყოფილებელი (sub omni canone) (40 ქულა და ნაკლები) -შედეგი, რომელიც წაყენებულ მოთხოვნებს  სრულიად ვერ აკმაყოფილებს.</w:t>
      </w:r>
    </w:p>
    <w:p w14:paraId="5D06D03D" w14:textId="17B38B45" w:rsidR="000F67B3" w:rsidRPr="008B0B4B" w:rsidRDefault="004A560F" w:rsidP="008B0B4B">
      <w:pPr>
        <w:ind w:right="1" w:firstLine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noProof/>
          <w:lang w:val="ka-GE"/>
        </w:rPr>
        <w:t>ზემოთ მოყვანილი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ა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>–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ე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მაგისტრანტს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შესაძლოა მი</w:t>
      </w:r>
      <w:r w:rsidRPr="004A560F">
        <w:rPr>
          <w:rFonts w:asciiTheme="minorHAnsi" w:hAnsiTheme="minorHAnsi" w:cstheme="minorHAnsi"/>
          <w:noProof/>
          <w:lang w:val="af-ZA"/>
        </w:rPr>
        <w:t>ენიჭ</w:t>
      </w:r>
      <w:r w:rsidRPr="004A560F">
        <w:rPr>
          <w:rFonts w:asciiTheme="minorHAnsi" w:hAnsiTheme="minorHAnsi" w:cstheme="minorHAnsi"/>
          <w:noProof/>
          <w:lang w:val="ka-GE"/>
        </w:rPr>
        <w:t>ოს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მაგისტრის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აკადემიური ხარისხი,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ვ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ენიჭება </w:t>
      </w:r>
      <w:r w:rsidRPr="004A560F">
        <w:rPr>
          <w:rFonts w:asciiTheme="minorHAnsi" w:hAnsiTheme="minorHAnsi" w:cstheme="minorHAnsi"/>
          <w:noProof/>
          <w:lang w:val="ka-GE"/>
        </w:rPr>
        <w:t>შემდეგი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სემესტრის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განმავლობაში გადამუშავებული სა</w:t>
      </w:r>
      <w:r w:rsidRPr="004A560F">
        <w:rPr>
          <w:rFonts w:asciiTheme="minorHAnsi" w:hAnsiTheme="minorHAnsi" w:cstheme="minorHAnsi"/>
          <w:noProof/>
          <w:lang w:val="ka-GE"/>
        </w:rPr>
        <w:t>მაგისტრო</w:t>
      </w:r>
      <w:r w:rsidRPr="004A560F">
        <w:rPr>
          <w:rFonts w:asciiTheme="minorHAnsi" w:hAnsiTheme="minorHAnsi" w:cstheme="minorHAnsi"/>
          <w:noProof/>
          <w:lang w:val="af-ZA"/>
        </w:rPr>
        <w:t xml:space="preserve"> ნაშრომის წადგენის უფლება, ხოლო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ზ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მაგისტრანტი</w:t>
      </w:r>
      <w:r w:rsidRPr="004A560F">
        <w:rPr>
          <w:rFonts w:asciiTheme="minorHAnsi" w:hAnsiTheme="minorHAnsi" w:cstheme="minorHAnsi"/>
          <w:noProof/>
          <w:lang w:val="af-ZA"/>
        </w:rPr>
        <w:t xml:space="preserve"> კარგავს ი</w:t>
      </w:r>
      <w:r w:rsidRPr="004A560F">
        <w:rPr>
          <w:rFonts w:asciiTheme="minorHAnsi" w:hAnsiTheme="minorHAnsi" w:cstheme="minorHAnsi"/>
          <w:noProof/>
          <w:lang w:val="ka-GE"/>
        </w:rPr>
        <w:t>მა</w:t>
      </w:r>
      <w:r w:rsidRPr="004A560F">
        <w:rPr>
          <w:rFonts w:asciiTheme="minorHAnsi" w:hAnsiTheme="minorHAnsi" w:cstheme="minorHAnsi"/>
          <w:noProof/>
          <w:lang w:val="af-ZA"/>
        </w:rPr>
        <w:t xml:space="preserve">ვე </w:t>
      </w:r>
      <w:r w:rsidRPr="004A560F">
        <w:rPr>
          <w:rFonts w:asciiTheme="minorHAnsi" w:hAnsiTheme="minorHAnsi" w:cstheme="minorHAnsi"/>
          <w:noProof/>
          <w:lang w:val="ka-GE"/>
        </w:rPr>
        <w:t>თემაზე</w:t>
      </w:r>
      <w:r w:rsidRPr="004A560F">
        <w:rPr>
          <w:rFonts w:asciiTheme="minorHAnsi" w:hAnsiTheme="minorHAnsi" w:cstheme="minorHAnsi"/>
          <w:noProof/>
          <w:lang w:val="af-ZA"/>
        </w:rPr>
        <w:t xml:space="preserve"> ნაშრომის წარდგენის უფლება</w:t>
      </w:r>
      <w:r w:rsidR="008B0B4B">
        <w:rPr>
          <w:rFonts w:asciiTheme="minorHAnsi" w:hAnsiTheme="minorHAnsi" w:cstheme="minorHAnsi"/>
          <w:noProof/>
          <w:lang w:val="ka-GE"/>
        </w:rPr>
        <w:t>.</w:t>
      </w:r>
    </w:p>
    <w:sectPr w:rsidR="000F67B3" w:rsidRPr="008B0B4B" w:rsidSect="002D17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0FE8" w14:textId="77777777" w:rsidR="003238A4" w:rsidRDefault="003238A4" w:rsidP="00A21F5C">
      <w:r>
        <w:separator/>
      </w:r>
    </w:p>
  </w:endnote>
  <w:endnote w:type="continuationSeparator" w:id="0">
    <w:p w14:paraId="3BA2EFB0" w14:textId="77777777" w:rsidR="003238A4" w:rsidRDefault="003238A4" w:rsidP="00A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67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35E36" w14:textId="3B0F3A05" w:rsidR="008C6218" w:rsidRDefault="008C6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E8B0C" w14:textId="77777777" w:rsidR="008C6218" w:rsidRDefault="008C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8396" w14:textId="77777777" w:rsidR="003238A4" w:rsidRDefault="003238A4" w:rsidP="00A21F5C">
      <w:r>
        <w:separator/>
      </w:r>
    </w:p>
  </w:footnote>
  <w:footnote w:type="continuationSeparator" w:id="0">
    <w:p w14:paraId="626733F5" w14:textId="77777777" w:rsidR="003238A4" w:rsidRDefault="003238A4" w:rsidP="00A2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545F"/>
    <w:multiLevelType w:val="multilevel"/>
    <w:tmpl w:val="5324E89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a2"/>
      <w:lvlText w:val="Article %2."/>
      <w:lvlJc w:val="left"/>
      <w:pPr>
        <w:ind w:left="2356" w:hanging="1276"/>
      </w:pPr>
      <w:rPr>
        <w:rFonts w:ascii="Times New Roman" w:hAnsi="Times New Roman" w:cs="Times New Roman" w:hint="default"/>
        <w:i w:val="0"/>
        <w:color w:val="000000"/>
        <w:spacing w:val="0"/>
        <w:u w:val="none"/>
      </w:rPr>
    </w:lvl>
    <w:lvl w:ilvl="2">
      <w:start w:val="1"/>
      <w:numFmt w:val="decimal"/>
      <w:pStyle w:val="a3"/>
      <w:lvlText w:val="%2.%3."/>
      <w:lvlJc w:val="left"/>
      <w:pPr>
        <w:ind w:left="1702" w:hanging="851"/>
      </w:pPr>
      <w:rPr>
        <w:rFonts w:ascii="Times New Roman" w:hAnsi="Times New Roman" w:cs="Times New Roman"/>
        <w:b w:val="0"/>
        <w:i w:val="0"/>
        <w:color w:val="auto"/>
        <w:spacing w:val="0"/>
        <w:sz w:val="24"/>
        <w:u w:val="none"/>
      </w:rPr>
    </w:lvl>
    <w:lvl w:ilvl="3">
      <w:start w:val="1"/>
      <w:numFmt w:val="decimal"/>
      <w:pStyle w:val="a4"/>
      <w:lvlText w:val="%2.%3.%4."/>
      <w:lvlJc w:val="left"/>
      <w:pPr>
        <w:ind w:left="2432" w:hanging="992"/>
      </w:pPr>
      <w:rPr>
        <w:rFonts w:ascii="Times New Roman" w:hAnsi="Times New Roman" w:cs="Times New Roman" w:hint="default"/>
        <w:b w:val="0"/>
        <w:i w:val="0"/>
        <w:color w:val="000000"/>
        <w:spacing w:val="0"/>
        <w:sz w:val="24"/>
        <w:u w:val="none"/>
      </w:rPr>
    </w:lvl>
    <w:lvl w:ilvl="4">
      <w:start w:val="1"/>
      <w:numFmt w:val="decimal"/>
      <w:lvlText w:val="%5.%2.%3.%4"/>
      <w:lvlJc w:val="left"/>
      <w:pPr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15.1.13.%6."/>
      <w:lvlJc w:val="left"/>
      <w:pPr>
        <w:ind w:left="4536" w:hanging="992"/>
      </w:pPr>
      <w:rPr>
        <w:rFonts w:hint="default"/>
        <w:b w:val="0"/>
        <w:i w:val="0"/>
        <w:color w:val="000000"/>
        <w:spacing w:val="0"/>
        <w:sz w:val="24"/>
        <w:u w:val="none"/>
      </w:rPr>
    </w:lvl>
    <w:lvl w:ilvl="6">
      <w:start w:val="1"/>
      <w:numFmt w:val="decimal"/>
      <w:pStyle w:val="a27"/>
      <w:lvlText w:val="%2.%3.%4.%5.%6.%7."/>
      <w:lvlJc w:val="left"/>
      <w:pPr>
        <w:ind w:left="324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81DB6"/>
    <w:multiLevelType w:val="hybridMultilevel"/>
    <w:tmpl w:val="146838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8A35A4"/>
    <w:multiLevelType w:val="hybridMultilevel"/>
    <w:tmpl w:val="3960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754"/>
    <w:multiLevelType w:val="hybridMultilevel"/>
    <w:tmpl w:val="0C4657EC"/>
    <w:lvl w:ilvl="0" w:tplc="F078D35C">
      <w:start w:val="1"/>
      <w:numFmt w:val="upperLetter"/>
      <w:lvlText w:val="(%1)"/>
      <w:lvlJc w:val="left"/>
      <w:pPr>
        <w:ind w:left="20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16DA6C5C"/>
    <w:multiLevelType w:val="hybridMultilevel"/>
    <w:tmpl w:val="648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3C9B"/>
    <w:multiLevelType w:val="hybridMultilevel"/>
    <w:tmpl w:val="7B4CA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97A"/>
    <w:multiLevelType w:val="hybridMultilevel"/>
    <w:tmpl w:val="7368CA28"/>
    <w:lvl w:ilvl="0" w:tplc="73447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04F4"/>
    <w:multiLevelType w:val="hybridMultilevel"/>
    <w:tmpl w:val="FD30E0B0"/>
    <w:lvl w:ilvl="0" w:tplc="7C52B276">
      <w:start w:val="1"/>
      <w:numFmt w:val="decimal"/>
      <w:lvlText w:val="%1."/>
      <w:lvlJc w:val="left"/>
      <w:pPr>
        <w:ind w:left="510" w:hanging="360"/>
      </w:pPr>
      <w:rPr>
        <w:rFonts w:ascii="Sylfaen" w:hAnsi="Sylfaen" w:cs="Sylfae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23693CB5"/>
    <w:multiLevelType w:val="hybridMultilevel"/>
    <w:tmpl w:val="790C1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3A08"/>
    <w:multiLevelType w:val="hybridMultilevel"/>
    <w:tmpl w:val="180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1522"/>
    <w:multiLevelType w:val="hybridMultilevel"/>
    <w:tmpl w:val="E25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3589"/>
    <w:multiLevelType w:val="hybridMultilevel"/>
    <w:tmpl w:val="FDB251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025F91"/>
    <w:multiLevelType w:val="hybridMultilevel"/>
    <w:tmpl w:val="2DA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5C19"/>
    <w:multiLevelType w:val="hybridMultilevel"/>
    <w:tmpl w:val="DEBEA9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F6D0821"/>
    <w:multiLevelType w:val="hybridMultilevel"/>
    <w:tmpl w:val="030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469F0"/>
    <w:multiLevelType w:val="hybridMultilevel"/>
    <w:tmpl w:val="C228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1C13"/>
    <w:multiLevelType w:val="hybridMultilevel"/>
    <w:tmpl w:val="DFF68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CF2"/>
    <w:multiLevelType w:val="hybridMultilevel"/>
    <w:tmpl w:val="BD6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F46B8"/>
    <w:multiLevelType w:val="hybridMultilevel"/>
    <w:tmpl w:val="908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0"/>
  </w:num>
  <w:num w:numId="10">
    <w:abstractNumId w:val="6"/>
  </w:num>
  <w:num w:numId="11">
    <w:abstractNumId w:val="16"/>
  </w:num>
  <w:num w:numId="12">
    <w:abstractNumId w:val="2"/>
  </w:num>
  <w:num w:numId="13">
    <w:abstractNumId w:val="4"/>
  </w:num>
  <w:num w:numId="14">
    <w:abstractNumId w:val="12"/>
  </w:num>
  <w:num w:numId="15">
    <w:abstractNumId w:val="18"/>
  </w:num>
  <w:num w:numId="16">
    <w:abstractNumId w:val="7"/>
  </w:num>
  <w:num w:numId="17">
    <w:abstractNumId w:val="9"/>
  </w:num>
  <w:num w:numId="18">
    <w:abstractNumId w:val="11"/>
  </w:num>
  <w:num w:numId="19">
    <w:abstractNumId w:val="10"/>
  </w:num>
  <w:num w:numId="20">
    <w:abstractNumId w:val="0"/>
  </w:num>
  <w:num w:numId="21">
    <w:abstractNumId w:val="0"/>
  </w:num>
  <w:num w:numId="22">
    <w:abstractNumId w:val="0"/>
  </w:num>
  <w:num w:numId="23">
    <w:abstractNumId w:val="8"/>
  </w:num>
  <w:num w:numId="24">
    <w:abstractNumId w:val="0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3"/>
    <w:rsid w:val="000154F7"/>
    <w:rsid w:val="000329E3"/>
    <w:rsid w:val="00064D75"/>
    <w:rsid w:val="00080DF3"/>
    <w:rsid w:val="000F3BF8"/>
    <w:rsid w:val="000F67B3"/>
    <w:rsid w:val="00123049"/>
    <w:rsid w:val="00125C57"/>
    <w:rsid w:val="0015526B"/>
    <w:rsid w:val="001D29A4"/>
    <w:rsid w:val="001E2BEF"/>
    <w:rsid w:val="001F7D37"/>
    <w:rsid w:val="00217713"/>
    <w:rsid w:val="00225873"/>
    <w:rsid w:val="00257B2F"/>
    <w:rsid w:val="002800C6"/>
    <w:rsid w:val="0028432B"/>
    <w:rsid w:val="002B6D7B"/>
    <w:rsid w:val="002D17B2"/>
    <w:rsid w:val="00302EBE"/>
    <w:rsid w:val="003238A4"/>
    <w:rsid w:val="0035107B"/>
    <w:rsid w:val="00393156"/>
    <w:rsid w:val="003D49ED"/>
    <w:rsid w:val="003D7F77"/>
    <w:rsid w:val="003E013A"/>
    <w:rsid w:val="00441129"/>
    <w:rsid w:val="004419A5"/>
    <w:rsid w:val="00456B63"/>
    <w:rsid w:val="00467A9A"/>
    <w:rsid w:val="00486DA1"/>
    <w:rsid w:val="00495790"/>
    <w:rsid w:val="00496E51"/>
    <w:rsid w:val="004A560F"/>
    <w:rsid w:val="00531010"/>
    <w:rsid w:val="00544A05"/>
    <w:rsid w:val="00584640"/>
    <w:rsid w:val="005926FC"/>
    <w:rsid w:val="005945C6"/>
    <w:rsid w:val="005D0B8F"/>
    <w:rsid w:val="005F7A2C"/>
    <w:rsid w:val="00606FB8"/>
    <w:rsid w:val="0062116D"/>
    <w:rsid w:val="006856C6"/>
    <w:rsid w:val="006D1AB8"/>
    <w:rsid w:val="006D738F"/>
    <w:rsid w:val="007254C7"/>
    <w:rsid w:val="00742630"/>
    <w:rsid w:val="007A1EC1"/>
    <w:rsid w:val="007C5A70"/>
    <w:rsid w:val="007E23F5"/>
    <w:rsid w:val="007E6561"/>
    <w:rsid w:val="00863112"/>
    <w:rsid w:val="008637E3"/>
    <w:rsid w:val="00883907"/>
    <w:rsid w:val="008B0B4B"/>
    <w:rsid w:val="008C6218"/>
    <w:rsid w:val="008F0B65"/>
    <w:rsid w:val="008F71AF"/>
    <w:rsid w:val="00901026"/>
    <w:rsid w:val="009107D1"/>
    <w:rsid w:val="00913A22"/>
    <w:rsid w:val="00920AA1"/>
    <w:rsid w:val="009B58F5"/>
    <w:rsid w:val="009E68BC"/>
    <w:rsid w:val="00A21F5C"/>
    <w:rsid w:val="00A70477"/>
    <w:rsid w:val="00A71A68"/>
    <w:rsid w:val="00A72ECF"/>
    <w:rsid w:val="00A84BF1"/>
    <w:rsid w:val="00A93933"/>
    <w:rsid w:val="00AD2DF8"/>
    <w:rsid w:val="00AE4BE2"/>
    <w:rsid w:val="00B373E7"/>
    <w:rsid w:val="00B435B5"/>
    <w:rsid w:val="00B73BD8"/>
    <w:rsid w:val="00B77282"/>
    <w:rsid w:val="00BD1F7F"/>
    <w:rsid w:val="00C23D04"/>
    <w:rsid w:val="00C24E60"/>
    <w:rsid w:val="00C26E07"/>
    <w:rsid w:val="00C505ED"/>
    <w:rsid w:val="00C62EA5"/>
    <w:rsid w:val="00C77E0D"/>
    <w:rsid w:val="00CC4E65"/>
    <w:rsid w:val="00CD79EF"/>
    <w:rsid w:val="00CF334C"/>
    <w:rsid w:val="00D012B6"/>
    <w:rsid w:val="00D04904"/>
    <w:rsid w:val="00D16AD2"/>
    <w:rsid w:val="00D27670"/>
    <w:rsid w:val="00D32A8E"/>
    <w:rsid w:val="00D63966"/>
    <w:rsid w:val="00DA339C"/>
    <w:rsid w:val="00DA7A32"/>
    <w:rsid w:val="00DB1163"/>
    <w:rsid w:val="00DC6E79"/>
    <w:rsid w:val="00DE1754"/>
    <w:rsid w:val="00DE1C80"/>
    <w:rsid w:val="00DF1F09"/>
    <w:rsid w:val="00E01827"/>
    <w:rsid w:val="00E12A46"/>
    <w:rsid w:val="00E61312"/>
    <w:rsid w:val="00E80AF2"/>
    <w:rsid w:val="00E862EE"/>
    <w:rsid w:val="00EA5480"/>
    <w:rsid w:val="00EA58A7"/>
    <w:rsid w:val="00EC62DF"/>
    <w:rsid w:val="00F255A0"/>
    <w:rsid w:val="00F4189B"/>
    <w:rsid w:val="00F65AB2"/>
    <w:rsid w:val="00F66D04"/>
    <w:rsid w:val="00F67EF3"/>
    <w:rsid w:val="00F90BCA"/>
    <w:rsid w:val="00F924EA"/>
    <w:rsid w:val="00FD29D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11F73"/>
  <w15:chartTrackingRefBased/>
  <w15:docId w15:val="{1CE3F828-5CD3-8C49-B302-A6E2789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9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8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_2"/>
    <w:basedOn w:val="Normal"/>
    <w:rsid w:val="00C77E0D"/>
    <w:pPr>
      <w:keepNext/>
      <w:keepLines/>
      <w:numPr>
        <w:ilvl w:val="1"/>
        <w:numId w:val="2"/>
      </w:numPr>
      <w:spacing w:before="240" w:after="200" w:line="276" w:lineRule="auto"/>
      <w:ind w:left="1386" w:hanging="1386"/>
      <w:jc w:val="both"/>
      <w:outlineLvl w:val="1"/>
    </w:pPr>
    <w:rPr>
      <w:b/>
    </w:rPr>
  </w:style>
  <w:style w:type="paragraph" w:customStyle="1" w:styleId="a3">
    <w:name w:val="a_3"/>
    <w:basedOn w:val="Normal"/>
    <w:rsid w:val="00C77E0D"/>
    <w:pPr>
      <w:numPr>
        <w:ilvl w:val="2"/>
        <w:numId w:val="2"/>
      </w:numPr>
      <w:spacing w:before="120" w:after="120" w:line="276" w:lineRule="auto"/>
      <w:ind w:left="1391"/>
      <w:jc w:val="both"/>
    </w:pPr>
    <w:rPr>
      <w:rFonts w:eastAsia="Sylfaen"/>
      <w:b/>
    </w:rPr>
  </w:style>
  <w:style w:type="paragraph" w:customStyle="1" w:styleId="a4">
    <w:name w:val="a_4"/>
    <w:basedOn w:val="Normal"/>
    <w:rsid w:val="00C77E0D"/>
    <w:pPr>
      <w:numPr>
        <w:ilvl w:val="3"/>
        <w:numId w:val="2"/>
      </w:numPr>
      <w:spacing w:before="40" w:after="40" w:line="276" w:lineRule="auto"/>
    </w:pPr>
    <w:rPr>
      <w:b/>
    </w:rPr>
  </w:style>
  <w:style w:type="paragraph" w:customStyle="1" w:styleId="a27">
    <w:name w:val="a2_7"/>
    <w:basedOn w:val="Normal"/>
    <w:qFormat/>
    <w:rsid w:val="00C77E0D"/>
    <w:pPr>
      <w:numPr>
        <w:ilvl w:val="6"/>
        <w:numId w:val="2"/>
      </w:numPr>
      <w:spacing w:after="200" w:line="276" w:lineRule="auto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5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58F5"/>
    <w:pPr>
      <w:autoSpaceDE w:val="0"/>
      <w:autoSpaceDN w:val="0"/>
      <w:adjustRightInd w:val="0"/>
    </w:pPr>
    <w:rPr>
      <w:rFonts w:ascii="Sylfaen" w:hAnsi="Sylfaen" w:cs="Sylfaen"/>
      <w:color w:val="000000"/>
    </w:rPr>
  </w:style>
  <w:style w:type="paragraph" w:customStyle="1" w:styleId="edgt-il-text">
    <w:name w:val="edgt-il-text"/>
    <w:basedOn w:val="Normal"/>
    <w:rsid w:val="0039315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EA58A7"/>
    <w:pPr>
      <w:jc w:val="both"/>
    </w:pPr>
    <w:rPr>
      <w:rFonts w:ascii="AcadNusx" w:hAnsi="AcadNusx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A58A7"/>
    <w:rPr>
      <w:rFonts w:ascii="AcadNusx" w:eastAsia="Times New Roman" w:hAnsi="AcadNusx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8"/>
    <w:rPr>
      <w:rFonts w:ascii="Segoe UI" w:eastAsia="Times New Roman" w:hAnsi="Segoe UI" w:cs="Segoe UI"/>
      <w:sz w:val="18"/>
      <w:szCs w:val="18"/>
    </w:rPr>
  </w:style>
  <w:style w:type="paragraph" w:customStyle="1" w:styleId="abzacixml">
    <w:name w:val="abzaci_xml"/>
    <w:basedOn w:val="PlainText"/>
    <w:rsid w:val="00B435B5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5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5B5"/>
    <w:rPr>
      <w:rFonts w:ascii="Consolas" w:eastAsia="Times New Roman" w:hAnsi="Consolas" w:cs="Times New Roman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3D49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B1AE-DB26-417D-A5CF-216AA9C0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Ekaterina Pipia</cp:lastModifiedBy>
  <cp:revision>17</cp:revision>
  <dcterms:created xsi:type="dcterms:W3CDTF">2020-01-31T07:39:00Z</dcterms:created>
  <dcterms:modified xsi:type="dcterms:W3CDTF">2022-01-17T10:12:00Z</dcterms:modified>
</cp:coreProperties>
</file>