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AE" w:rsidRPr="002634A8" w:rsidRDefault="00A870AE" w:rsidP="002634A8">
      <w:pPr>
        <w:pStyle w:val="Header"/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ind w:left="720" w:hanging="360"/>
        <w:jc w:val="both"/>
        <w:rPr>
          <w:rFonts w:ascii="Sylfaen" w:hAnsi="Sylfaen"/>
          <w:b/>
          <w:sz w:val="28"/>
          <w:szCs w:val="28"/>
          <w:lang w:val="ka-GE"/>
        </w:rPr>
      </w:pPr>
      <w:r w:rsidRPr="002634A8">
        <w:rPr>
          <w:rFonts w:ascii="Sylfaen" w:hAnsi="Sylfaen"/>
          <w:b/>
          <w:sz w:val="28"/>
          <w:szCs w:val="28"/>
          <w:lang w:val="ka-GE"/>
        </w:rPr>
        <w:t>სამაგისტრო პროგრამა ფინანსები - საგამოცდო საკითხები</w:t>
      </w:r>
    </w:p>
    <w:p w:rsidR="002634A8" w:rsidRPr="002634A8" w:rsidRDefault="002634A8" w:rsidP="002634A8">
      <w:pPr>
        <w:pStyle w:val="Header"/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ind w:left="720" w:hanging="36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hAnsi="Sylfaen" w:cs="AcadNusx"/>
          <w:lang w:val="ka-GE"/>
        </w:rPr>
      </w:pPr>
      <w:r w:rsidRPr="002634A8">
        <w:rPr>
          <w:rFonts w:ascii="Sylfaen" w:hAnsi="Sylfaen" w:cs="Sylfaen"/>
          <w:lang w:val="ka-GE"/>
        </w:rPr>
        <w:t>ეროვნული</w:t>
      </w:r>
      <w:r w:rsidRPr="002634A8">
        <w:rPr>
          <w:rFonts w:ascii="Sylfaen" w:hAnsi="Sylfaen"/>
          <w:lang w:val="ka-GE"/>
        </w:rPr>
        <w:t xml:space="preserve"> პროდუქტი</w:t>
      </w:r>
      <w:r w:rsidRPr="002634A8">
        <w:rPr>
          <w:rFonts w:ascii="AcadNusx" w:hAnsi="AcadNusx"/>
          <w:lang w:val="ka-GE"/>
        </w:rPr>
        <w:t xml:space="preserve"> </w:t>
      </w:r>
      <w:r w:rsidRPr="002634A8">
        <w:rPr>
          <w:rFonts w:ascii="Sylfaen" w:hAnsi="Sylfaen"/>
          <w:lang w:val="ka-GE"/>
        </w:rPr>
        <w:t>და ეროვნული შემოსავალი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hAnsi="Sylfaen" w:cs="AcadNusx"/>
          <w:lang w:val="ka-GE"/>
        </w:rPr>
      </w:pPr>
      <w:r w:rsidRPr="002634A8">
        <w:rPr>
          <w:rFonts w:ascii="Sylfaen" w:hAnsi="Sylfaen"/>
          <w:lang w:val="ka-GE"/>
        </w:rPr>
        <w:t>გაცვლითი კურსი</w:t>
      </w:r>
      <w:r w:rsidRPr="002634A8">
        <w:rPr>
          <w:rFonts w:ascii="AcadNusx" w:hAnsi="AcadNusx"/>
          <w:lang w:val="ka-GE"/>
        </w:rPr>
        <w:t xml:space="preserve"> </w:t>
      </w:r>
      <w:r w:rsidRPr="002634A8">
        <w:rPr>
          <w:rFonts w:ascii="Sylfaen" w:hAnsi="Sylfaen"/>
          <w:lang w:val="ka-GE"/>
        </w:rPr>
        <w:t>და</w:t>
      </w:r>
      <w:r w:rsidRPr="002634A8">
        <w:rPr>
          <w:rFonts w:ascii="AcadNusx" w:hAnsi="AcadNusx"/>
          <w:lang w:val="ka-GE"/>
        </w:rPr>
        <w:t xml:space="preserve"> </w:t>
      </w:r>
      <w:r w:rsidRPr="002634A8">
        <w:rPr>
          <w:rFonts w:ascii="Sylfaen" w:hAnsi="Sylfaen"/>
          <w:lang w:val="ka-GE"/>
        </w:rPr>
        <w:t>საერთაშორისო</w:t>
      </w:r>
      <w:r w:rsidRPr="002634A8">
        <w:rPr>
          <w:rFonts w:ascii="AcadNusx" w:hAnsi="AcadNusx"/>
          <w:lang w:val="ka-GE"/>
        </w:rPr>
        <w:t xml:space="preserve"> </w:t>
      </w:r>
      <w:r w:rsidRPr="002634A8">
        <w:rPr>
          <w:rFonts w:ascii="Sylfaen" w:hAnsi="Sylfaen"/>
          <w:lang w:val="ka-GE"/>
        </w:rPr>
        <w:t>გარიგებები</w:t>
      </w:r>
    </w:p>
    <w:p w:rsidR="00A870AE" w:rsidRPr="002634A8" w:rsidRDefault="00A870AE" w:rsidP="002634A8">
      <w:pPr>
        <w:numPr>
          <w:ilvl w:val="0"/>
          <w:numId w:val="1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სრული დასაქმების შენარჩუნების პოლიტიკის სახეები</w:t>
      </w:r>
    </w:p>
    <w:p w:rsidR="00A870AE" w:rsidRPr="002634A8" w:rsidRDefault="00A870AE" w:rsidP="002634A8">
      <w:pPr>
        <w:numPr>
          <w:ilvl w:val="0"/>
          <w:numId w:val="1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ინფლაციისადმი პოლიტიკის ფორმულირების სხვა პრობლემები</w:t>
      </w:r>
    </w:p>
    <w:p w:rsidR="00A870AE" w:rsidRPr="002634A8" w:rsidRDefault="00A870AE" w:rsidP="002634A8">
      <w:pPr>
        <w:numPr>
          <w:ilvl w:val="0"/>
          <w:numId w:val="1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 xml:space="preserve">ოქროს სტანდარტი: ოქროს სტანდარტის მექანიკა, სიმეტრიული ფულადი შეთანაწყობა ოქროს სტანდარტის პირობებში, ოქროს სტანდარტის დადებითი და უარყოფითი მხარეები 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</w:pPr>
      <w:r w:rsidRPr="002634A8">
        <w:rPr>
          <w:rFonts w:ascii="Sylfaen" w:hAnsi="Sylfaen" w:cs="Sylfaen"/>
          <w:bCs/>
          <w:lang w:val="ka-GE"/>
        </w:rPr>
        <w:t>ფულზე</w:t>
      </w:r>
      <w:r w:rsidRPr="002634A8">
        <w:rPr>
          <w:rFonts w:ascii="Sylfaen" w:hAnsi="Sylfaen"/>
          <w:bCs/>
          <w:lang w:val="ka-GE"/>
        </w:rPr>
        <w:t xml:space="preserve"> არსებული მოთხოვნა - კეინსის ”ლიკვიდურობის უპირატესობის” თეორია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</w:pPr>
      <w:r w:rsidRPr="002634A8">
        <w:rPr>
          <w:rFonts w:ascii="Sylfaen" w:hAnsi="Sylfaen"/>
          <w:bCs/>
          <w:lang w:val="ka-GE"/>
        </w:rPr>
        <w:t>ფულზე არსებული მოთხოვნა -</w:t>
      </w:r>
      <w:r w:rsidRPr="002634A8">
        <w:rPr>
          <w:rFonts w:ascii="Sylfaen" w:hAnsi="Sylfaen"/>
          <w:b/>
          <w:bCs/>
          <w:lang w:val="ka-GE"/>
        </w:rPr>
        <w:t xml:space="preserve"> </w:t>
      </w:r>
      <w:r w:rsidRPr="002634A8">
        <w:rPr>
          <w:rFonts w:ascii="Sylfaen" w:hAnsi="Sylfaen"/>
          <w:bCs/>
          <w:lang w:val="ka-GE"/>
        </w:rPr>
        <w:t>განმასხვავებელი ნიშნები ფრიდმანისა და კეინსის თეორიებს შორის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</w:pPr>
      <w:r w:rsidRPr="002634A8">
        <w:rPr>
          <w:rFonts w:ascii="Sylfaen" w:hAnsi="Sylfaen"/>
          <w:bCs/>
          <w:lang w:val="ka-GE"/>
        </w:rPr>
        <w:t>ღია საბაზრო ოპერაციები: ტიპები, დადებითი და უარყოფითი მხარეები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AcadNusx" w:hAnsi="AcadNusx" w:cs="AcadNusx"/>
        </w:rPr>
      </w:pPr>
      <w:r w:rsidRPr="002634A8">
        <w:rPr>
          <w:rFonts w:ascii="Sylfaen" w:hAnsi="Sylfaen" w:cs="Sylfaen"/>
          <w:color w:val="222222"/>
          <w:shd w:val="clear" w:color="auto" w:fill="FFFFFF"/>
        </w:rPr>
        <w:t>საბანკო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კაპიტალის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არსი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და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ფუნქციები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AcadNusx" w:hAnsi="AcadNusx" w:cs="AcadNusx"/>
        </w:rPr>
      </w:pPr>
      <w:r w:rsidRPr="002634A8">
        <w:rPr>
          <w:rFonts w:ascii="Sylfaen" w:hAnsi="Sylfaen" w:cs="Sylfaen"/>
        </w:rPr>
        <w:t>ცენტრალური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ბანკის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ორგანიზაციული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სტრუქტურა</w:t>
      </w:r>
      <w:r w:rsidRPr="002634A8">
        <w:rPr>
          <w:rFonts w:ascii="Sylfaen" w:hAnsi="Sylfaen" w:cs="AcadNusx"/>
          <w:lang w:val="ka-GE"/>
        </w:rPr>
        <w:t xml:space="preserve">; </w:t>
      </w:r>
      <w:r w:rsidRPr="002634A8">
        <w:rPr>
          <w:rFonts w:ascii="Sylfaen" w:hAnsi="Sylfaen" w:cs="Sylfaen"/>
        </w:rPr>
        <w:t>ცენტრალური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ბანკის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ფუნქციები</w:t>
      </w:r>
      <w:r w:rsidRPr="002634A8">
        <w:rPr>
          <w:rFonts w:ascii="Sylfaen" w:hAnsi="Sylfaen" w:cs="Sylfaen"/>
          <w:lang w:val="ka-GE"/>
        </w:rPr>
        <w:t>.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hAnsi="Sylfaen" w:cs="AcadNusx"/>
          <w:lang w:val="ka-GE"/>
        </w:rPr>
      </w:pPr>
      <w:r w:rsidRPr="002634A8">
        <w:rPr>
          <w:rFonts w:ascii="Sylfaen" w:hAnsi="Sylfaen" w:cs="AcadNusx"/>
          <w:lang w:val="ka-GE"/>
        </w:rPr>
        <w:t xml:space="preserve">კომერციული ბანკების როლი ფინანსური სისტემის ფუნქციონირებაში; </w:t>
      </w:r>
      <w:r w:rsidRPr="002634A8">
        <w:rPr>
          <w:rFonts w:ascii="Sylfaen" w:hAnsi="Sylfaen" w:cs="Sylfaen"/>
        </w:rPr>
        <w:t>კომერციული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ბანკის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ორგანიზაციული</w:t>
      </w:r>
      <w:r w:rsidRPr="002634A8">
        <w:rPr>
          <w:rFonts w:ascii="AcadNusx" w:hAnsi="AcadNusx" w:cs="AcadNusx"/>
        </w:rPr>
        <w:t xml:space="preserve"> </w:t>
      </w:r>
      <w:r w:rsidRPr="002634A8">
        <w:rPr>
          <w:rFonts w:ascii="Sylfaen" w:hAnsi="Sylfaen" w:cs="Sylfaen"/>
        </w:rPr>
        <w:t>სტრუქტურა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AcadNusx" w:hAnsi="AcadNusx" w:cs="AcadNusx"/>
        </w:rPr>
      </w:pPr>
      <w:r w:rsidRPr="002634A8">
        <w:rPr>
          <w:rFonts w:ascii="Sylfaen" w:hAnsi="Sylfaen" w:cs="Sylfaen"/>
          <w:color w:val="222222"/>
          <w:shd w:val="clear" w:color="auto" w:fill="FFFFFF"/>
        </w:rPr>
        <w:t>კომერციული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ბანკის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ფინანსური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უწყისები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2634A8">
        <w:rPr>
          <w:rFonts w:ascii="Sylfaen" w:hAnsi="Sylfaen" w:cs="Sylfaen"/>
          <w:color w:val="222222"/>
          <w:shd w:val="clear" w:color="auto" w:fill="FFFFFF"/>
        </w:rPr>
        <w:t>საბალანსო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და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მოგება</w:t>
      </w:r>
      <w:r w:rsidRPr="002634A8">
        <w:rPr>
          <w:rFonts w:ascii="Arial" w:hAnsi="Arial" w:cs="Arial"/>
          <w:color w:val="222222"/>
          <w:shd w:val="clear" w:color="auto" w:fill="FFFFFF"/>
        </w:rPr>
        <w:t>-</w:t>
      </w:r>
      <w:r w:rsidRPr="002634A8">
        <w:rPr>
          <w:rFonts w:ascii="Sylfaen" w:hAnsi="Sylfaen" w:cs="Sylfaen"/>
          <w:color w:val="222222"/>
          <w:shd w:val="clear" w:color="auto" w:fill="FFFFFF"/>
        </w:rPr>
        <w:t>ზარალის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უწყისის</w:t>
      </w:r>
      <w:r w:rsidRPr="002634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4A8">
        <w:rPr>
          <w:rFonts w:ascii="Sylfaen" w:hAnsi="Sylfaen" w:cs="Sylfaen"/>
          <w:color w:val="222222"/>
          <w:shd w:val="clear" w:color="auto" w:fill="FFFFFF"/>
        </w:rPr>
        <w:t>კომპონენტები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AcadNusx" w:hAnsi="AcadNusx" w:cs="AcadNusx"/>
        </w:rPr>
      </w:pPr>
      <w:r w:rsidRPr="002634A8">
        <w:rPr>
          <w:rFonts w:ascii="Sylfaen" w:hAnsi="Sylfaen"/>
          <w:bCs/>
          <w:lang w:val="ka-GE"/>
        </w:rPr>
        <w:t xml:space="preserve">საბანკო რისკები: რისკის სახეები, შეფასება და მართვა </w:t>
      </w:r>
      <w:r w:rsidRPr="002634A8">
        <w:rPr>
          <w:rFonts w:ascii="Sylfaen" w:hAnsi="Sylfaen"/>
          <w:bCs/>
        </w:rPr>
        <w:t>(</w:t>
      </w:r>
      <w:r w:rsidRPr="002634A8">
        <w:rPr>
          <w:rFonts w:ascii="Sylfaen" w:hAnsi="Sylfaen"/>
          <w:lang w:val="ka-GE"/>
        </w:rPr>
        <w:t>ლიკვიდობის, საბაზრო, სამართლებრივი, რეპუტაციის, გადახდისუნარიონობის რისკი)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hAnsi="Sylfaen" w:cs="AcadNusx"/>
          <w:lang w:val="ka-GE"/>
        </w:rPr>
      </w:pPr>
      <w:r w:rsidRPr="002634A8">
        <w:rPr>
          <w:rFonts w:ascii="Sylfaen" w:hAnsi="Sylfaen"/>
          <w:lang w:val="ka-GE"/>
        </w:rPr>
        <w:t xml:space="preserve">საინვესტიციო პორტფელის შედეგების შეფასება, მონიტორინგი და ანგარიშგება 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hAnsi="Sylfaen" w:cs="AcadNusx"/>
          <w:lang w:val="ka-GE"/>
        </w:rPr>
      </w:pPr>
      <w:r w:rsidRPr="002634A8">
        <w:rPr>
          <w:rFonts w:ascii="Sylfaen" w:hAnsi="Sylfaen"/>
          <w:bCs/>
          <w:lang w:val="ka-GE"/>
        </w:rPr>
        <w:t xml:space="preserve">საინვესტიციო </w:t>
      </w:r>
      <w:r w:rsidRPr="002634A8">
        <w:rPr>
          <w:rFonts w:ascii="Sylfaen" w:hAnsi="Sylfaen"/>
          <w:bCs/>
        </w:rPr>
        <w:t>პორტფელის მართვის პასიური სტრატეგია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spacing w:after="120" w:line="264" w:lineRule="auto"/>
        <w:jc w:val="both"/>
        <w:rPr>
          <w:rFonts w:ascii="Sylfaen" w:eastAsia="Calibri" w:hAnsi="Sylfaen"/>
          <w:lang w:val="ka-GE"/>
        </w:rPr>
      </w:pPr>
      <w:r w:rsidRPr="002634A8">
        <w:rPr>
          <w:rFonts w:ascii="Sylfaen" w:eastAsia="Calibri" w:hAnsi="Sylfaen"/>
          <w:lang w:val="ka-GE"/>
        </w:rPr>
        <w:t>საპროცენტო განაკვეთების სტრუქტურის თეორია</w:t>
      </w:r>
    </w:p>
    <w:p w:rsidR="002634A8" w:rsidRPr="002634A8" w:rsidRDefault="00A870AE" w:rsidP="002634A8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64" w:lineRule="auto"/>
        <w:jc w:val="both"/>
        <w:rPr>
          <w:rFonts w:ascii="Sylfaen" w:hAnsi="Sylfaen"/>
        </w:rPr>
      </w:pPr>
      <w:r w:rsidRPr="002634A8">
        <w:rPr>
          <w:rFonts w:ascii="Sylfaen" w:hAnsi="Sylfaen"/>
          <w:lang w:val="ka-GE"/>
        </w:rPr>
        <w:t>მომავლის და დღევანდელი ღირებულების პრინციპი</w:t>
      </w:r>
    </w:p>
    <w:p w:rsidR="002634A8" w:rsidRPr="002634A8" w:rsidRDefault="00A870AE" w:rsidP="002634A8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64" w:lineRule="auto"/>
        <w:jc w:val="both"/>
        <w:rPr>
          <w:rFonts w:ascii="Sylfaen" w:hAnsi="Sylfaen"/>
        </w:rPr>
      </w:pPr>
      <w:r w:rsidRPr="002634A8">
        <w:rPr>
          <w:rFonts w:ascii="Sylfaen" w:hAnsi="Sylfaen" w:cs="Sylfaen"/>
          <w:lang w:val="ka-GE"/>
        </w:rPr>
        <w:t>ფულის</w:t>
      </w:r>
      <w:r w:rsidRPr="002634A8">
        <w:rPr>
          <w:rFonts w:ascii="Sylfaen" w:hAnsi="Sylfaen"/>
          <w:lang w:val="ka-GE"/>
        </w:rPr>
        <w:t xml:space="preserve"> დროითი ღირებულების აპლიკაცია</w:t>
      </w:r>
    </w:p>
    <w:p w:rsidR="002634A8" w:rsidRPr="002634A8" w:rsidRDefault="00A870AE" w:rsidP="002634A8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64" w:lineRule="auto"/>
        <w:jc w:val="both"/>
        <w:rPr>
          <w:rFonts w:ascii="Sylfaen" w:hAnsi="Sylfaen"/>
        </w:rPr>
      </w:pPr>
      <w:r w:rsidRPr="002634A8">
        <w:rPr>
          <w:rFonts w:ascii="Sylfaen" w:hAnsi="Sylfaen" w:cs="Sylfaen"/>
          <w:spacing w:val="-3"/>
          <w:lang w:val="ka-GE"/>
        </w:rPr>
        <w:t>საკუთარი</w:t>
      </w:r>
      <w:r w:rsidRPr="002634A8">
        <w:rPr>
          <w:rFonts w:ascii="Sylfaen" w:hAnsi="Sylfaen"/>
          <w:spacing w:val="-3"/>
          <w:lang w:val="ka-GE"/>
        </w:rPr>
        <w:t xml:space="preserve"> კაპიტალის ღირებულების განვსაზღვა</w:t>
      </w:r>
    </w:p>
    <w:p w:rsidR="00A870AE" w:rsidRPr="002634A8" w:rsidRDefault="00A870AE" w:rsidP="002634A8">
      <w:pPr>
        <w:pStyle w:val="ListParagraph"/>
        <w:numPr>
          <w:ilvl w:val="0"/>
          <w:numId w:val="1"/>
        </w:numPr>
        <w:tabs>
          <w:tab w:val="left" w:pos="-720"/>
          <w:tab w:val="left" w:pos="459"/>
        </w:tabs>
        <w:suppressAutoHyphens/>
        <w:spacing w:beforeLines="20" w:before="48" w:afterLines="30" w:after="72" w:line="264" w:lineRule="auto"/>
        <w:jc w:val="both"/>
        <w:rPr>
          <w:rFonts w:ascii="Sylfaen" w:hAnsi="Sylfaen"/>
        </w:rPr>
      </w:pPr>
      <w:r w:rsidRPr="002634A8">
        <w:rPr>
          <w:rFonts w:ascii="Sylfaen" w:hAnsi="Sylfaen" w:cs="Sylfaen"/>
          <w:spacing w:val="-3"/>
          <w:lang w:val="ka-GE"/>
        </w:rPr>
        <w:t>ვალდებულებების</w:t>
      </w:r>
      <w:r w:rsidRPr="002634A8">
        <w:rPr>
          <w:rFonts w:ascii="Sylfaen" w:hAnsi="Sylfaen"/>
          <w:spacing w:val="-3"/>
          <w:lang w:val="ka-GE"/>
        </w:rPr>
        <w:t xml:space="preserve"> კაპიტალის ღირებულების განვსაზღვრა</w:t>
      </w:r>
    </w:p>
    <w:p w:rsidR="00A870AE" w:rsidRPr="002634A8" w:rsidRDefault="00A870AE" w:rsidP="002634A8">
      <w:pPr>
        <w:pStyle w:val="ListParagraph"/>
        <w:tabs>
          <w:tab w:val="left" w:pos="-720"/>
          <w:tab w:val="left" w:pos="459"/>
        </w:tabs>
        <w:suppressAutoHyphens/>
        <w:spacing w:beforeLines="20" w:before="48" w:afterLines="20" w:after="48" w:line="264" w:lineRule="auto"/>
        <w:jc w:val="both"/>
        <w:rPr>
          <w:rFonts w:ascii="Verdana" w:hAnsi="Verdana"/>
          <w:spacing w:val="-3"/>
        </w:rPr>
      </w:pPr>
    </w:p>
    <w:p w:rsidR="002634A8" w:rsidRDefault="002634A8" w:rsidP="002634A8">
      <w:pPr>
        <w:rPr>
          <w:rFonts w:ascii="Sylfaen" w:hAnsi="Sylfaen"/>
          <w:b/>
          <w:lang w:val="ka-GE"/>
        </w:rPr>
      </w:pPr>
    </w:p>
    <w:p w:rsidR="00A870AE" w:rsidRPr="002634A8" w:rsidRDefault="00A870AE" w:rsidP="002634A8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2634A8">
        <w:rPr>
          <w:rFonts w:ascii="Sylfaen" w:hAnsi="Sylfaen"/>
          <w:b/>
          <w:lang w:val="ka-GE"/>
        </w:rPr>
        <w:t>რეკომენდებული ლიტერატურა:</w:t>
      </w:r>
    </w:p>
    <w:p w:rsidR="002A7FE2" w:rsidRPr="002634A8" w:rsidRDefault="002A7FE2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 xml:space="preserve">ლორენს გიტმანი, მაიკლ ჯონკი, ჰაროლდ ბირმანი, სეიმორ შმიდტი, თარგმანი ლამარა ქოქიაურის, </w:t>
      </w:r>
      <w:r w:rsidR="00E51838" w:rsidRPr="002634A8">
        <w:rPr>
          <w:rFonts w:ascii="Sylfaen" w:hAnsi="Sylfaen"/>
          <w:lang w:val="ka-GE"/>
        </w:rPr>
        <w:t>ინვესტირების საფუძვლები, მესამე გამოცემა, 2012;</w:t>
      </w:r>
    </w:p>
    <w:p w:rsidR="000B26ED" w:rsidRPr="002634A8" w:rsidRDefault="006C76B4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ჯეიმს ვანჰორნი, ჯონ ვაჰოვიჩი, ფინანსური მენეჯმენტის საფუძვლები, მე</w:t>
      </w:r>
      <w:r w:rsidR="00E51838" w:rsidRPr="002634A8">
        <w:rPr>
          <w:rFonts w:ascii="Sylfaen" w:hAnsi="Sylfaen"/>
          <w:lang w:val="ka-GE"/>
        </w:rPr>
        <w:t xml:space="preserve">თორმეტე </w:t>
      </w:r>
      <w:r w:rsidRPr="002634A8">
        <w:rPr>
          <w:rFonts w:ascii="Sylfaen" w:hAnsi="Sylfaen"/>
          <w:lang w:val="ka-GE"/>
        </w:rPr>
        <w:t>გამოცემა, გამომცემლობა საქართველოს მაცნე;</w:t>
      </w:r>
    </w:p>
    <w:p w:rsidR="006C76B4" w:rsidRPr="002634A8" w:rsidRDefault="002A7FE2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lastRenderedPageBreak/>
        <w:t xml:space="preserve">ფული, ინვესტიციები და საბანკო საქმე, </w:t>
      </w:r>
      <w:r w:rsidR="00E51838" w:rsidRPr="002634A8">
        <w:rPr>
          <w:rFonts w:ascii="Sylfaen" w:hAnsi="Sylfaen"/>
          <w:lang w:val="ka-GE"/>
        </w:rPr>
        <w:t>ფული, ინვესტიციები და საბანკო საქმე, საქრთველოს პოლიტექნიკური უნივერსიტეტის გამომცემლობა, 2010;</w:t>
      </w:r>
    </w:p>
    <w:p w:rsidR="00E51838" w:rsidRPr="002634A8" w:rsidRDefault="00E51838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ე. ბარათაშვილი, ლ. გვაჯაბია, რ. ქუთათელაძე, საინვესტიციო მენეჯმენტი, თბილისი, 2011;</w:t>
      </w:r>
    </w:p>
    <w:p w:rsidR="00E51838" w:rsidRPr="002634A8" w:rsidRDefault="00E51838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რევაზ კაკულია, გედევან ხელაია, ფულის მიმოქცევისა და კრედიტის ზოგადი თეორია, თბილისი, 2003;</w:t>
      </w:r>
    </w:p>
    <w:p w:rsidR="00E51838" w:rsidRPr="002634A8" w:rsidRDefault="00E51838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 xml:space="preserve">მადონა გელაშვილი, მაკროეკონომიკა, </w:t>
      </w:r>
      <w:r w:rsidR="007B0C86" w:rsidRPr="002634A8">
        <w:rPr>
          <w:rFonts w:ascii="Sylfaen" w:hAnsi="Sylfaen"/>
          <w:lang w:val="ka-GE"/>
        </w:rPr>
        <w:t xml:space="preserve">გამომცემლობა </w:t>
      </w:r>
      <w:r w:rsidRPr="002634A8">
        <w:rPr>
          <w:rFonts w:ascii="Sylfaen" w:hAnsi="Sylfaen"/>
          <w:lang w:val="ka-GE"/>
        </w:rPr>
        <w:t>ახალი საქართველო</w:t>
      </w:r>
      <w:r w:rsidR="007B0C86" w:rsidRPr="002634A8">
        <w:rPr>
          <w:rFonts w:ascii="Sylfaen" w:hAnsi="Sylfaen"/>
          <w:lang w:val="ka-GE"/>
        </w:rPr>
        <w:t>, თბილისი, 2009;</w:t>
      </w:r>
    </w:p>
    <w:p w:rsidR="007B0C86" w:rsidRPr="002634A8" w:rsidRDefault="007B0C86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მერაბ ვანიშვილი, ზვიად შანავა, ეკონომიკის საფუძვლები (მიკროეკონომიკა, მაკროეკონომიკა), თბილისი, 2010;</w:t>
      </w:r>
    </w:p>
    <w:p w:rsidR="007B0C86" w:rsidRPr="002634A8" w:rsidRDefault="007B0C86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რევაზ კაკულია, ლელა ბახტაძე, ლაშა კანდელაკიშვილი, საბანკო საქმე, თბილისი, 2010;</w:t>
      </w:r>
    </w:p>
    <w:p w:rsidR="007B0C86" w:rsidRPr="002634A8" w:rsidRDefault="007B0C86" w:rsidP="002634A8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lang w:val="ka-GE"/>
        </w:rPr>
      </w:pPr>
      <w:r w:rsidRPr="002634A8">
        <w:rPr>
          <w:rFonts w:ascii="Sylfaen" w:hAnsi="Sylfaen"/>
          <w:lang w:val="ka-GE"/>
        </w:rPr>
        <w:t>გიორგი ცაავა, საბანკო საქმე (ლექციების კურსი), აფხაზეთის მეცნიერებათა აკადემია, 2005;</w:t>
      </w:r>
    </w:p>
    <w:p w:rsidR="00A870AE" w:rsidRPr="002634A8" w:rsidRDefault="00A870AE" w:rsidP="002634A8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2634A8">
        <w:rPr>
          <w:rFonts w:ascii="Sylfaen" w:hAnsi="Sylfaen"/>
          <w:snapToGrid w:val="0"/>
          <w:sz w:val="22"/>
          <w:szCs w:val="22"/>
        </w:rPr>
        <w:t>Principles of Managerial Finance by Lawrence J. Gitman, 12</w:t>
      </w:r>
      <w:r w:rsidRPr="002634A8">
        <w:rPr>
          <w:rFonts w:ascii="Sylfaen" w:hAnsi="Sylfaen"/>
          <w:snapToGrid w:val="0"/>
          <w:sz w:val="22"/>
          <w:szCs w:val="22"/>
          <w:vertAlign w:val="superscript"/>
        </w:rPr>
        <w:t>th</w:t>
      </w:r>
      <w:r w:rsidRPr="002634A8">
        <w:rPr>
          <w:rFonts w:ascii="Sylfaen" w:hAnsi="Sylfaen"/>
          <w:snapToGrid w:val="0"/>
          <w:sz w:val="22"/>
          <w:szCs w:val="22"/>
        </w:rPr>
        <w:t xml:space="preserve"> Edition, Pearson Publishing (2007)</w:t>
      </w:r>
    </w:p>
    <w:p w:rsidR="00A870AE" w:rsidRPr="002634A8" w:rsidRDefault="00A870AE" w:rsidP="002634A8">
      <w:pPr>
        <w:pStyle w:val="Bibliography"/>
        <w:numPr>
          <w:ilvl w:val="0"/>
          <w:numId w:val="2"/>
        </w:numPr>
        <w:spacing w:after="120" w:line="264" w:lineRule="auto"/>
        <w:jc w:val="both"/>
        <w:rPr>
          <w:rFonts w:ascii="Sylfaen" w:hAnsi="Sylfaen"/>
          <w:noProof/>
          <w:lang w:val="en-GB"/>
        </w:rPr>
      </w:pPr>
      <w:r w:rsidRPr="002634A8">
        <w:rPr>
          <w:rFonts w:ascii="Sylfaen" w:hAnsi="Sylfaen"/>
          <w:noProof/>
          <w:lang w:val="en-GB"/>
        </w:rPr>
        <w:t xml:space="preserve">Barbara Casu, Claudia Girardone, Philip Molyneux (2006). </w:t>
      </w:r>
      <w:r w:rsidRPr="002634A8">
        <w:rPr>
          <w:rFonts w:ascii="Sylfaen" w:hAnsi="Sylfaen"/>
          <w:i/>
          <w:noProof/>
          <w:lang w:val="en-GB"/>
        </w:rPr>
        <w:t>Introduction to Banking</w:t>
      </w:r>
      <w:r w:rsidRPr="002634A8">
        <w:rPr>
          <w:rFonts w:ascii="Sylfaen" w:hAnsi="Sylfaen"/>
          <w:noProof/>
          <w:lang w:val="en-GB"/>
        </w:rPr>
        <w:t>, Pearson Education, Prentice Hall.</w:t>
      </w:r>
    </w:p>
    <w:p w:rsidR="00A870AE" w:rsidRPr="002634A8" w:rsidRDefault="00A870AE" w:rsidP="002634A8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2634A8">
        <w:rPr>
          <w:rFonts w:ascii="Sylfaen" w:hAnsi="Sylfaen"/>
          <w:sz w:val="22"/>
          <w:szCs w:val="22"/>
        </w:rPr>
        <w:t>Mishkin Frederic S. (2007) The Economics of Money, Banking, and Financial Markets (8</w:t>
      </w:r>
      <w:r w:rsidRPr="002634A8">
        <w:rPr>
          <w:rFonts w:ascii="Sylfaen" w:hAnsi="Sylfaen"/>
          <w:sz w:val="22"/>
          <w:szCs w:val="22"/>
          <w:vertAlign w:val="superscript"/>
        </w:rPr>
        <w:t>th</w:t>
      </w:r>
      <w:r w:rsidRPr="002634A8">
        <w:rPr>
          <w:rFonts w:ascii="Sylfaen" w:hAnsi="Sylfaen"/>
          <w:sz w:val="22"/>
          <w:szCs w:val="22"/>
        </w:rPr>
        <w:t xml:space="preserve"> ed.). Pearson, Addison Wesley</w:t>
      </w:r>
    </w:p>
    <w:p w:rsidR="00A870AE" w:rsidRPr="002634A8" w:rsidRDefault="00A870AE" w:rsidP="002634A8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2634A8">
        <w:rPr>
          <w:rFonts w:ascii="Sylfaen" w:hAnsi="Sylfaen"/>
          <w:sz w:val="22"/>
          <w:szCs w:val="22"/>
        </w:rPr>
        <w:t>Paul R. Krugman, Maurice Obsfeld, International Economics: Theory and Policy. (8</w:t>
      </w:r>
      <w:r w:rsidRPr="002634A8">
        <w:rPr>
          <w:rFonts w:ascii="Sylfaen" w:hAnsi="Sylfaen"/>
          <w:sz w:val="22"/>
          <w:szCs w:val="22"/>
          <w:vertAlign w:val="superscript"/>
        </w:rPr>
        <w:t>th</w:t>
      </w:r>
      <w:r w:rsidRPr="002634A8">
        <w:rPr>
          <w:rFonts w:ascii="Sylfaen" w:hAnsi="Sylfaen"/>
          <w:sz w:val="22"/>
          <w:szCs w:val="22"/>
        </w:rPr>
        <w:t xml:space="preserve"> ed.), 2009</w:t>
      </w:r>
    </w:p>
    <w:p w:rsidR="00A870AE" w:rsidRPr="002634A8" w:rsidRDefault="00A870AE" w:rsidP="002634A8">
      <w:pPr>
        <w:pStyle w:val="Header"/>
        <w:numPr>
          <w:ilvl w:val="0"/>
          <w:numId w:val="2"/>
        </w:numPr>
        <w:tabs>
          <w:tab w:val="left" w:pos="628"/>
          <w:tab w:val="left" w:pos="1140"/>
          <w:tab w:val="left" w:pos="1620"/>
          <w:tab w:val="left" w:pos="2130"/>
          <w:tab w:val="left" w:pos="3038"/>
        </w:tabs>
        <w:spacing w:after="120" w:line="264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2634A8">
        <w:rPr>
          <w:rFonts w:ascii="Sylfaen" w:hAnsi="Sylfaen"/>
          <w:sz w:val="22"/>
          <w:szCs w:val="22"/>
        </w:rPr>
        <w:t>Keith C. Brawn and Frank K. Reilly  Analysis of Investments and Management of Portfolios, Ninth Edition, 2009</w:t>
      </w:r>
    </w:p>
    <w:p w:rsidR="00CD235E" w:rsidRPr="002634A8" w:rsidRDefault="002634A8" w:rsidP="002634A8">
      <w:pPr>
        <w:spacing w:after="120" w:line="264" w:lineRule="auto"/>
        <w:jc w:val="both"/>
        <w:rPr>
          <w:lang w:val="ka-GE"/>
        </w:rPr>
      </w:pPr>
    </w:p>
    <w:sectPr w:rsidR="00CD235E" w:rsidRPr="0026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76D6"/>
    <w:multiLevelType w:val="hybridMultilevel"/>
    <w:tmpl w:val="90B60682"/>
    <w:lvl w:ilvl="0" w:tplc="B8B479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12C3D"/>
    <w:multiLevelType w:val="hybridMultilevel"/>
    <w:tmpl w:val="A8EC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2"/>
    <w:rsid w:val="000B26ED"/>
    <w:rsid w:val="002634A8"/>
    <w:rsid w:val="002A7FE2"/>
    <w:rsid w:val="006A6920"/>
    <w:rsid w:val="006C76B4"/>
    <w:rsid w:val="007B0C86"/>
    <w:rsid w:val="008C2984"/>
    <w:rsid w:val="00A870AE"/>
    <w:rsid w:val="00B75EB2"/>
    <w:rsid w:val="00C926B4"/>
    <w:rsid w:val="00E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B419-241A-423E-BEB9-51AB937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AE"/>
    <w:pPr>
      <w:ind w:left="720"/>
      <w:contextualSpacing/>
    </w:pPr>
  </w:style>
  <w:style w:type="paragraph" w:styleId="Header">
    <w:name w:val="header"/>
    <w:basedOn w:val="Normal"/>
    <w:link w:val="HeaderChar"/>
    <w:rsid w:val="00A87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A87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0AE"/>
  </w:style>
  <w:style w:type="paragraph" w:styleId="BalloonText">
    <w:name w:val="Balloon Text"/>
    <w:basedOn w:val="Normal"/>
    <w:link w:val="BalloonTextChar"/>
    <w:uiPriority w:val="99"/>
    <w:semiHidden/>
    <w:unhideWhenUsed/>
    <w:rsid w:val="000B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Vanishvili</dc:creator>
  <cp:keywords/>
  <dc:description/>
  <cp:lastModifiedBy>khundadze</cp:lastModifiedBy>
  <cp:revision>8</cp:revision>
  <cp:lastPrinted>2016-07-14T12:16:00Z</cp:lastPrinted>
  <dcterms:created xsi:type="dcterms:W3CDTF">2016-07-14T07:39:00Z</dcterms:created>
  <dcterms:modified xsi:type="dcterms:W3CDTF">2016-07-14T16:39:00Z</dcterms:modified>
</cp:coreProperties>
</file>