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154D" w14:textId="77777777" w:rsidR="00FE1F70" w:rsidRPr="00FE1F70" w:rsidRDefault="00FE1F70" w:rsidP="00FE1F70">
      <w:pPr>
        <w:spacing w:after="0" w:line="259" w:lineRule="auto"/>
        <w:ind w:left="55" w:right="0" w:firstLine="0"/>
        <w:jc w:val="right"/>
        <w:rPr>
          <w:sz w:val="20"/>
        </w:rPr>
      </w:pPr>
      <w:r w:rsidRPr="00FE1F70">
        <w:rPr>
          <w:sz w:val="20"/>
        </w:rPr>
        <w:t>Appendix 1</w:t>
      </w:r>
    </w:p>
    <w:p w14:paraId="0D72EF9C" w14:textId="77777777" w:rsidR="00FE1F70" w:rsidRPr="00FE1F70" w:rsidRDefault="00FE1F70" w:rsidP="00FE1F70">
      <w:pPr>
        <w:spacing w:after="0" w:line="259" w:lineRule="auto"/>
        <w:ind w:left="55" w:right="0" w:firstLine="0"/>
        <w:jc w:val="right"/>
        <w:rPr>
          <w:sz w:val="20"/>
        </w:rPr>
      </w:pPr>
    </w:p>
    <w:p w14:paraId="6D22EB91" w14:textId="0D5EF5D6" w:rsidR="00FE7B88" w:rsidRDefault="00FE1F70" w:rsidP="00FE1F70">
      <w:pPr>
        <w:spacing w:after="0" w:line="259" w:lineRule="auto"/>
        <w:ind w:left="55" w:right="0" w:firstLine="0"/>
        <w:jc w:val="right"/>
      </w:pPr>
      <w:r w:rsidRPr="00FE1F70">
        <w:rPr>
          <w:sz w:val="20"/>
        </w:rPr>
        <w:t xml:space="preserve">  Approved: 07/01-24, 06/21/2024</w:t>
      </w:r>
      <w:r w:rsidR="00A0614A">
        <w:t xml:space="preserve"> </w:t>
      </w:r>
    </w:p>
    <w:p w14:paraId="6FB3FA7B" w14:textId="77777777" w:rsidR="00FE7B88" w:rsidRDefault="00A0614A">
      <w:pPr>
        <w:spacing w:after="0" w:line="259" w:lineRule="auto"/>
        <w:ind w:left="55" w:right="0" w:firstLine="0"/>
        <w:jc w:val="center"/>
      </w:pPr>
      <w:r>
        <w:t xml:space="preserve"> </w:t>
      </w:r>
    </w:p>
    <w:p w14:paraId="669D3498" w14:textId="77777777" w:rsidR="00FE7B88" w:rsidRDefault="00A0614A">
      <w:pPr>
        <w:spacing w:after="0" w:line="259" w:lineRule="auto"/>
        <w:ind w:left="55" w:right="0" w:firstLine="0"/>
        <w:jc w:val="center"/>
      </w:pPr>
      <w:r>
        <w:t xml:space="preserve"> </w:t>
      </w:r>
    </w:p>
    <w:p w14:paraId="37F7AB6C" w14:textId="77777777" w:rsidR="00FE7B88" w:rsidRDefault="00A0614A">
      <w:pPr>
        <w:spacing w:after="0" w:line="259" w:lineRule="auto"/>
        <w:ind w:left="55" w:right="0" w:firstLine="0"/>
        <w:jc w:val="center"/>
      </w:pPr>
      <w:r>
        <w:t xml:space="preserve"> </w:t>
      </w:r>
    </w:p>
    <w:p w14:paraId="33781FE8" w14:textId="77777777" w:rsidR="00FE7B88" w:rsidRDefault="00A0614A">
      <w:pPr>
        <w:spacing w:after="0" w:line="259" w:lineRule="auto"/>
        <w:ind w:left="55" w:right="0" w:firstLine="0"/>
        <w:jc w:val="center"/>
      </w:pPr>
      <w:r>
        <w:t xml:space="preserve"> </w:t>
      </w:r>
    </w:p>
    <w:p w14:paraId="226CE0AC" w14:textId="77777777" w:rsidR="00FE7B88" w:rsidRDefault="00A0614A">
      <w:pPr>
        <w:spacing w:after="0" w:line="259" w:lineRule="auto"/>
        <w:ind w:left="55" w:right="0" w:firstLine="0"/>
        <w:jc w:val="center"/>
      </w:pPr>
      <w:r>
        <w:t xml:space="preserve"> </w:t>
      </w:r>
    </w:p>
    <w:p w14:paraId="45F3F4B6" w14:textId="77777777" w:rsidR="00FE7B88" w:rsidRDefault="00A0614A">
      <w:pPr>
        <w:spacing w:after="0" w:line="259" w:lineRule="auto"/>
        <w:ind w:left="55" w:right="0" w:firstLine="0"/>
        <w:jc w:val="center"/>
      </w:pPr>
      <w:r>
        <w:t xml:space="preserve"> </w:t>
      </w:r>
    </w:p>
    <w:p w14:paraId="3AFFB5DF" w14:textId="77777777" w:rsidR="00FE7B88" w:rsidRDefault="00A0614A">
      <w:pPr>
        <w:spacing w:after="0" w:line="259" w:lineRule="auto"/>
        <w:ind w:left="55" w:right="0" w:firstLine="0"/>
        <w:jc w:val="center"/>
      </w:pPr>
      <w:r>
        <w:t xml:space="preserve"> </w:t>
      </w:r>
    </w:p>
    <w:p w14:paraId="7EF0F7FC" w14:textId="77777777" w:rsidR="00FE7B88" w:rsidRDefault="00A0614A">
      <w:pPr>
        <w:spacing w:after="0" w:line="259" w:lineRule="auto"/>
        <w:ind w:left="55" w:right="0" w:firstLine="0"/>
        <w:jc w:val="center"/>
      </w:pPr>
      <w:r>
        <w:t xml:space="preserve"> </w:t>
      </w:r>
    </w:p>
    <w:p w14:paraId="7D6685CA" w14:textId="77777777" w:rsidR="00FE7B88" w:rsidRDefault="00A0614A">
      <w:pPr>
        <w:spacing w:after="0" w:line="259" w:lineRule="auto"/>
        <w:ind w:left="55" w:right="0" w:firstLine="0"/>
        <w:jc w:val="center"/>
      </w:pPr>
      <w:r>
        <w:t xml:space="preserve"> </w:t>
      </w:r>
    </w:p>
    <w:p w14:paraId="61279157" w14:textId="77777777" w:rsidR="00FE7B88" w:rsidRDefault="00A0614A">
      <w:pPr>
        <w:spacing w:after="0" w:line="259" w:lineRule="auto"/>
        <w:ind w:left="55" w:right="0" w:firstLine="0"/>
        <w:jc w:val="center"/>
      </w:pPr>
      <w:r>
        <w:t xml:space="preserve"> </w:t>
      </w:r>
    </w:p>
    <w:p w14:paraId="45FF934B" w14:textId="77777777" w:rsidR="00FE7B88" w:rsidRDefault="00A0614A">
      <w:pPr>
        <w:spacing w:after="16" w:line="259" w:lineRule="auto"/>
        <w:ind w:left="55" w:right="0" w:firstLine="0"/>
        <w:jc w:val="center"/>
      </w:pPr>
      <w:r>
        <w:t xml:space="preserve"> </w:t>
      </w:r>
    </w:p>
    <w:p w14:paraId="78C2722B" w14:textId="77777777" w:rsidR="00FE7B88" w:rsidRDefault="00A0614A">
      <w:pPr>
        <w:spacing w:after="0" w:line="259" w:lineRule="auto"/>
        <w:ind w:left="64" w:right="0" w:firstLine="0"/>
        <w:jc w:val="center"/>
      </w:pPr>
      <w:r>
        <w:rPr>
          <w:sz w:val="28"/>
        </w:rPr>
        <w:t xml:space="preserve"> </w:t>
      </w:r>
    </w:p>
    <w:p w14:paraId="071823B3" w14:textId="77777777" w:rsidR="00FE1F70" w:rsidRDefault="00FE1F70">
      <w:pPr>
        <w:spacing w:after="0" w:line="259" w:lineRule="auto"/>
        <w:ind w:left="1546" w:right="0" w:firstLine="0"/>
        <w:jc w:val="left"/>
      </w:pPr>
    </w:p>
    <w:p w14:paraId="2033C87C" w14:textId="3BF3AF22" w:rsidR="00FE1F70" w:rsidRDefault="00FE1F70" w:rsidP="00FE1F70">
      <w:pPr>
        <w:spacing w:after="0" w:line="259" w:lineRule="auto"/>
        <w:ind w:left="55" w:right="0" w:firstLine="0"/>
        <w:jc w:val="center"/>
      </w:pPr>
      <w:r>
        <w:t>International Black Sea University</w:t>
      </w:r>
    </w:p>
    <w:p w14:paraId="7D9F0640" w14:textId="6B978290" w:rsidR="00FE1F70" w:rsidRDefault="00FE1F70" w:rsidP="00FE1F70">
      <w:pPr>
        <w:spacing w:after="0" w:line="259" w:lineRule="auto"/>
        <w:ind w:left="55" w:right="0" w:firstLine="0"/>
        <w:jc w:val="center"/>
      </w:pPr>
      <w:r>
        <w:t>Exchange programs, co</w:t>
      </w:r>
      <w:r>
        <w:t>ntest</w:t>
      </w:r>
      <w:r>
        <w:t xml:space="preserve"> conditions and</w:t>
      </w:r>
    </w:p>
    <w:p w14:paraId="25F8BEE2" w14:textId="325667F3" w:rsidR="00FE7B88" w:rsidRDefault="00FE1F70" w:rsidP="00FE1F70">
      <w:pPr>
        <w:spacing w:after="0" w:line="259" w:lineRule="auto"/>
        <w:ind w:left="55" w:right="0" w:firstLine="0"/>
        <w:jc w:val="center"/>
      </w:pPr>
      <w:r>
        <w:t>r</w:t>
      </w:r>
      <w:r>
        <w:t>ules for announcing the co</w:t>
      </w:r>
      <w:r>
        <w:t>ntest</w:t>
      </w:r>
      <w:r>
        <w:t xml:space="preserve"> for students</w:t>
      </w:r>
      <w:r w:rsidR="00A0614A">
        <w:t xml:space="preserve"> </w:t>
      </w:r>
    </w:p>
    <w:p w14:paraId="52BF9973" w14:textId="77777777" w:rsidR="00FE7B88" w:rsidRDefault="00A0614A">
      <w:pPr>
        <w:spacing w:after="0" w:line="259" w:lineRule="auto"/>
        <w:ind w:left="55" w:right="0" w:firstLine="0"/>
        <w:jc w:val="center"/>
      </w:pPr>
      <w:r>
        <w:t xml:space="preserve"> </w:t>
      </w:r>
    </w:p>
    <w:p w14:paraId="1B6EB735" w14:textId="77777777" w:rsidR="00FE7B88" w:rsidRDefault="00A0614A">
      <w:pPr>
        <w:spacing w:after="0" w:line="259" w:lineRule="auto"/>
        <w:ind w:left="55" w:right="0" w:firstLine="0"/>
        <w:jc w:val="center"/>
      </w:pPr>
      <w:r>
        <w:t xml:space="preserve"> </w:t>
      </w:r>
    </w:p>
    <w:p w14:paraId="01772B59" w14:textId="77777777" w:rsidR="00FE7B88" w:rsidRDefault="00A0614A">
      <w:pPr>
        <w:spacing w:after="0" w:line="259" w:lineRule="auto"/>
        <w:ind w:left="55" w:right="0" w:firstLine="0"/>
        <w:jc w:val="center"/>
      </w:pPr>
      <w:r>
        <w:t xml:space="preserve"> </w:t>
      </w:r>
    </w:p>
    <w:p w14:paraId="53C6A68F" w14:textId="77777777" w:rsidR="00FE7B88" w:rsidRDefault="00A0614A">
      <w:pPr>
        <w:spacing w:after="0" w:line="259" w:lineRule="auto"/>
        <w:ind w:left="55" w:right="0" w:firstLine="0"/>
        <w:jc w:val="center"/>
      </w:pPr>
      <w:r>
        <w:t xml:space="preserve"> </w:t>
      </w:r>
    </w:p>
    <w:p w14:paraId="06F0A2C1" w14:textId="77777777" w:rsidR="00FE7B88" w:rsidRDefault="00A0614A">
      <w:pPr>
        <w:spacing w:after="0" w:line="259" w:lineRule="auto"/>
        <w:ind w:left="55" w:right="0" w:firstLine="0"/>
        <w:jc w:val="center"/>
      </w:pPr>
      <w:r>
        <w:t xml:space="preserve"> </w:t>
      </w:r>
    </w:p>
    <w:p w14:paraId="58A08D25" w14:textId="77777777" w:rsidR="00FE7B88" w:rsidRDefault="00A0614A">
      <w:pPr>
        <w:spacing w:after="0" w:line="259" w:lineRule="auto"/>
        <w:ind w:left="55" w:right="0" w:firstLine="0"/>
        <w:jc w:val="center"/>
      </w:pPr>
      <w:r>
        <w:t xml:space="preserve"> </w:t>
      </w:r>
    </w:p>
    <w:p w14:paraId="2253A5C7" w14:textId="77777777" w:rsidR="00FE7B88" w:rsidRDefault="00A0614A">
      <w:pPr>
        <w:spacing w:after="0" w:line="259" w:lineRule="auto"/>
        <w:ind w:left="55" w:right="0" w:firstLine="0"/>
        <w:jc w:val="center"/>
      </w:pPr>
      <w:r>
        <w:t xml:space="preserve"> </w:t>
      </w:r>
    </w:p>
    <w:p w14:paraId="7E0B74E4" w14:textId="77777777" w:rsidR="00FE7B88" w:rsidRDefault="00A0614A">
      <w:pPr>
        <w:spacing w:after="0" w:line="259" w:lineRule="auto"/>
        <w:ind w:left="55" w:right="0" w:firstLine="0"/>
        <w:jc w:val="center"/>
      </w:pPr>
      <w:r>
        <w:t xml:space="preserve"> </w:t>
      </w:r>
    </w:p>
    <w:p w14:paraId="18905879" w14:textId="77777777" w:rsidR="00FE7B88" w:rsidRDefault="00A0614A">
      <w:pPr>
        <w:spacing w:after="0" w:line="259" w:lineRule="auto"/>
        <w:ind w:left="55" w:right="0" w:firstLine="0"/>
        <w:jc w:val="center"/>
      </w:pPr>
      <w:r>
        <w:t xml:space="preserve"> </w:t>
      </w:r>
    </w:p>
    <w:p w14:paraId="749EE75B" w14:textId="77777777" w:rsidR="00FE7B88" w:rsidRDefault="00A0614A">
      <w:pPr>
        <w:spacing w:after="0" w:line="259" w:lineRule="auto"/>
        <w:ind w:left="55" w:right="0" w:firstLine="0"/>
        <w:jc w:val="center"/>
      </w:pPr>
      <w:r>
        <w:t xml:space="preserve"> </w:t>
      </w:r>
    </w:p>
    <w:p w14:paraId="0F1E8041" w14:textId="77777777" w:rsidR="00FE7B88" w:rsidRDefault="00A0614A">
      <w:pPr>
        <w:spacing w:after="0" w:line="259" w:lineRule="auto"/>
        <w:ind w:left="55" w:right="0" w:firstLine="0"/>
        <w:jc w:val="center"/>
      </w:pPr>
      <w:r>
        <w:t xml:space="preserve"> </w:t>
      </w:r>
    </w:p>
    <w:p w14:paraId="202AEA33" w14:textId="77777777" w:rsidR="00FE7B88" w:rsidRDefault="00A0614A">
      <w:pPr>
        <w:spacing w:after="0" w:line="259" w:lineRule="auto"/>
        <w:ind w:left="55" w:right="0" w:firstLine="0"/>
        <w:jc w:val="center"/>
      </w:pPr>
      <w:r>
        <w:t xml:space="preserve"> </w:t>
      </w:r>
    </w:p>
    <w:p w14:paraId="29675CED" w14:textId="77777777" w:rsidR="00FE7B88" w:rsidRDefault="00A0614A">
      <w:pPr>
        <w:spacing w:after="0" w:line="259" w:lineRule="auto"/>
        <w:ind w:left="55" w:right="0" w:firstLine="0"/>
        <w:jc w:val="center"/>
      </w:pPr>
      <w:r>
        <w:t xml:space="preserve"> </w:t>
      </w:r>
    </w:p>
    <w:p w14:paraId="7D64C4FD" w14:textId="77777777" w:rsidR="00FE7B88" w:rsidRDefault="00A0614A">
      <w:pPr>
        <w:spacing w:after="0" w:line="259" w:lineRule="auto"/>
        <w:ind w:left="55" w:right="0" w:firstLine="0"/>
        <w:jc w:val="center"/>
      </w:pPr>
      <w:r>
        <w:t xml:space="preserve"> </w:t>
      </w:r>
    </w:p>
    <w:p w14:paraId="1DE61666" w14:textId="77777777" w:rsidR="00FE7B88" w:rsidRDefault="00A0614A">
      <w:pPr>
        <w:spacing w:after="0" w:line="259" w:lineRule="auto"/>
        <w:ind w:left="55" w:right="0" w:firstLine="0"/>
        <w:jc w:val="center"/>
      </w:pPr>
      <w:r>
        <w:t xml:space="preserve"> </w:t>
      </w:r>
    </w:p>
    <w:p w14:paraId="1EF5FD88" w14:textId="77777777" w:rsidR="00FE7B88" w:rsidRDefault="00A0614A">
      <w:pPr>
        <w:spacing w:after="0" w:line="259" w:lineRule="auto"/>
        <w:ind w:left="55" w:right="0" w:firstLine="0"/>
        <w:jc w:val="center"/>
      </w:pPr>
      <w:r>
        <w:t xml:space="preserve"> </w:t>
      </w:r>
    </w:p>
    <w:p w14:paraId="5E0BFFE7" w14:textId="77777777" w:rsidR="00FE7B88" w:rsidRDefault="00A0614A">
      <w:pPr>
        <w:spacing w:after="0" w:line="259" w:lineRule="auto"/>
        <w:ind w:left="55" w:right="0" w:firstLine="0"/>
        <w:jc w:val="center"/>
      </w:pPr>
      <w:r>
        <w:t xml:space="preserve"> </w:t>
      </w:r>
    </w:p>
    <w:p w14:paraId="0D653549" w14:textId="77777777" w:rsidR="00FE7B88" w:rsidRDefault="00A0614A">
      <w:pPr>
        <w:spacing w:after="0" w:line="259" w:lineRule="auto"/>
        <w:ind w:left="55" w:right="0" w:firstLine="0"/>
        <w:jc w:val="center"/>
      </w:pPr>
      <w:r>
        <w:t xml:space="preserve"> </w:t>
      </w:r>
    </w:p>
    <w:p w14:paraId="7EB9E85D" w14:textId="77777777" w:rsidR="00FE7B88" w:rsidRDefault="00A0614A">
      <w:pPr>
        <w:spacing w:after="0" w:line="259" w:lineRule="auto"/>
        <w:ind w:left="55" w:right="0" w:firstLine="0"/>
        <w:jc w:val="center"/>
      </w:pPr>
      <w:r>
        <w:t xml:space="preserve"> </w:t>
      </w:r>
    </w:p>
    <w:p w14:paraId="3D14367D" w14:textId="77777777" w:rsidR="00FE7B88" w:rsidRDefault="00A0614A">
      <w:pPr>
        <w:spacing w:after="0" w:line="259" w:lineRule="auto"/>
        <w:ind w:left="55" w:right="0" w:firstLine="0"/>
        <w:jc w:val="center"/>
      </w:pPr>
      <w:r>
        <w:t xml:space="preserve"> </w:t>
      </w:r>
    </w:p>
    <w:p w14:paraId="4B7B393E" w14:textId="77777777" w:rsidR="00FE7B88" w:rsidRDefault="00A0614A">
      <w:pPr>
        <w:spacing w:after="0" w:line="259" w:lineRule="auto"/>
        <w:ind w:left="55" w:right="0" w:firstLine="0"/>
        <w:jc w:val="center"/>
      </w:pPr>
      <w:r>
        <w:t xml:space="preserve"> </w:t>
      </w:r>
    </w:p>
    <w:p w14:paraId="514FE593" w14:textId="7CC2C554" w:rsidR="00FE7B88" w:rsidRDefault="00FE1F70">
      <w:pPr>
        <w:spacing w:after="0" w:line="259" w:lineRule="auto"/>
        <w:jc w:val="center"/>
      </w:pPr>
      <w:r>
        <w:t>Tbilisi</w:t>
      </w:r>
      <w:r w:rsidR="00A0614A">
        <w:t xml:space="preserve"> </w:t>
      </w:r>
    </w:p>
    <w:p w14:paraId="01272162" w14:textId="77777777" w:rsidR="00FE7B88" w:rsidRDefault="00A0614A">
      <w:pPr>
        <w:spacing w:after="0" w:line="259" w:lineRule="auto"/>
        <w:ind w:right="5"/>
        <w:jc w:val="center"/>
      </w:pPr>
      <w:r>
        <w:t xml:space="preserve">2024 </w:t>
      </w:r>
    </w:p>
    <w:p w14:paraId="55384C12" w14:textId="77777777" w:rsidR="00FE7B88" w:rsidRDefault="00A0614A">
      <w:pPr>
        <w:spacing w:after="0" w:line="259" w:lineRule="auto"/>
        <w:ind w:left="55" w:right="0" w:firstLine="0"/>
        <w:jc w:val="center"/>
      </w:pPr>
      <w:r>
        <w:lastRenderedPageBreak/>
        <w:t xml:space="preserve"> </w:t>
      </w:r>
    </w:p>
    <w:p w14:paraId="38519A6A" w14:textId="77777777" w:rsidR="00FE1F70" w:rsidRDefault="00FE1F70" w:rsidP="00FE1F70">
      <w:pPr>
        <w:ind w:left="-5" w:right="0"/>
      </w:pPr>
      <w:r>
        <w:t>Article 1. Main features</w:t>
      </w:r>
    </w:p>
    <w:p w14:paraId="2D9D9B2B" w14:textId="5E8A3612" w:rsidR="00FE1F70" w:rsidRDefault="00FE1F70" w:rsidP="00FE1F70">
      <w:pPr>
        <w:ind w:left="-5" w:right="0"/>
      </w:pPr>
      <w:r>
        <w:t>1.1. Based on cooperation with partner universities, International Black Sea University implements the following exchange programs for students:</w:t>
      </w:r>
    </w:p>
    <w:p w14:paraId="12567F1D" w14:textId="77777777" w:rsidR="00FE1F70" w:rsidRDefault="00FE1F70" w:rsidP="00FE1F70">
      <w:pPr>
        <w:ind w:left="-5" w:right="0"/>
      </w:pPr>
      <w:r>
        <w:t>1.1.1. Erasmus + EU higher education program with partner universities; (Note: a student participating in the Erasmus+ program must be a citizen of Georgia).</w:t>
      </w:r>
    </w:p>
    <w:p w14:paraId="1B5741BF" w14:textId="77777777" w:rsidR="00FE1F70" w:rsidRDefault="00FE1F70" w:rsidP="00FE1F70">
      <w:pPr>
        <w:ind w:left="-5" w:right="0"/>
      </w:pPr>
      <w:r>
        <w:t>1.1.2. Bilateral exchange program with partner universities;</w:t>
      </w:r>
    </w:p>
    <w:p w14:paraId="7D81F76D" w14:textId="4AF02AB1" w:rsidR="00FE1F70" w:rsidRDefault="00FE1F70" w:rsidP="00FE1F70">
      <w:pPr>
        <w:ind w:left="-5" w:right="0"/>
      </w:pPr>
      <w:r>
        <w:t xml:space="preserve">1.1.3. </w:t>
      </w:r>
      <w:r>
        <w:t>Online</w:t>
      </w:r>
      <w:r>
        <w:t xml:space="preserve"> learning exchange program with partner universities.</w:t>
      </w:r>
    </w:p>
    <w:p w14:paraId="7DFE15E4" w14:textId="76D67547" w:rsidR="00FE1F70" w:rsidRDefault="00FE1F70" w:rsidP="00FE1F70">
      <w:pPr>
        <w:ind w:left="-5" w:right="0"/>
      </w:pPr>
      <w:r>
        <w:t>1.2. Mobility for International Black Sea University students is possible at all levels (bachelor's, master's, doctoral);</w:t>
      </w:r>
    </w:p>
    <w:p w14:paraId="0B8BFBD4" w14:textId="03FD2948" w:rsidR="00FE1F70" w:rsidRDefault="00FE1F70" w:rsidP="00FE1F70">
      <w:pPr>
        <w:ind w:left="-5" w:right="0"/>
      </w:pPr>
      <w:r>
        <w:t xml:space="preserve">1.3. Participation in international exchange programs is possible for students of the first semester of the second year of the bachelor's </w:t>
      </w:r>
      <w:r>
        <w:t>level</w:t>
      </w:r>
      <w:r>
        <w:t xml:space="preserve">, </w:t>
      </w:r>
      <w:r>
        <w:t xml:space="preserve">as well as for </w:t>
      </w:r>
      <w:r>
        <w:t xml:space="preserve">the second, </w:t>
      </w:r>
      <w:r>
        <w:t>third- and fourth-year students</w:t>
      </w:r>
      <w:r>
        <w:t>;</w:t>
      </w:r>
    </w:p>
    <w:p w14:paraId="26829AA2" w14:textId="0375D7EB" w:rsidR="00FE1F70" w:rsidRDefault="00FE1F70" w:rsidP="00FE1F70">
      <w:pPr>
        <w:ind w:left="-5" w:right="0"/>
      </w:pPr>
      <w:r>
        <w:t xml:space="preserve">1.4. Students of the second semester of the first year of master's </w:t>
      </w:r>
      <w:r>
        <w:t>level</w:t>
      </w:r>
      <w:r>
        <w:t xml:space="preserve"> can participate in international exchange programs.</w:t>
      </w:r>
    </w:p>
    <w:p w14:paraId="7B72F145" w14:textId="62594BD3" w:rsidR="00FE1F70" w:rsidRDefault="00FE1F70" w:rsidP="00FE1F70">
      <w:pPr>
        <w:ind w:left="-5" w:right="0"/>
      </w:pPr>
      <w:r>
        <w:t>1.5. A doctoral student can participate in international exchange programs at any stage of his</w:t>
      </w:r>
      <w:r>
        <w:t>/her</w:t>
      </w:r>
      <w:r>
        <w:t xml:space="preserve"> doctoral studies, based on the approval of the relevant school.</w:t>
      </w:r>
    </w:p>
    <w:p w14:paraId="0562CA22" w14:textId="68A90709" w:rsidR="00FE1F70" w:rsidRDefault="00FE1F70" w:rsidP="00FE1F70">
      <w:pPr>
        <w:ind w:left="-5" w:right="0"/>
      </w:pPr>
      <w:r>
        <w:t xml:space="preserve">1.6. The duration of the exchange programs is no more than one semester or one academic year, after the end of the studies, the </w:t>
      </w:r>
      <w:r>
        <w:t>host</w:t>
      </w:r>
      <w:r>
        <w:t xml:space="preserve"> university gives the student a mark sheet, according to which credits are recognized.</w:t>
      </w:r>
    </w:p>
    <w:p w14:paraId="3F036DF1" w14:textId="12016CCF" w:rsidR="00FE1F70" w:rsidRDefault="00FE1F70" w:rsidP="00FE1F70">
      <w:pPr>
        <w:ind w:left="-5" w:right="0"/>
      </w:pPr>
      <w:r>
        <w:t>1.7. The recognition of received credits is carried out at the National Center for the Education</w:t>
      </w:r>
      <w:r>
        <w:t xml:space="preserve"> </w:t>
      </w:r>
      <w:r>
        <w:t xml:space="preserve">Quality </w:t>
      </w:r>
      <w:r>
        <w:t>Enhancement</w:t>
      </w:r>
      <w:r>
        <w:t>, which the student provides by paying the appropriate fee.</w:t>
      </w:r>
    </w:p>
    <w:p w14:paraId="019D9D5B" w14:textId="291AC7CE" w:rsidR="00FE1F70" w:rsidRDefault="00FE1F70" w:rsidP="00FE1F70">
      <w:pPr>
        <w:ind w:left="-5" w:right="0"/>
      </w:pPr>
      <w:r>
        <w:t xml:space="preserve">1.8. A student of the International Black Sea University participating in the exchange program </w:t>
      </w:r>
      <w:r w:rsidR="001037EB" w:rsidRPr="001037EB">
        <w:t>maintains th</w:t>
      </w:r>
      <w:r w:rsidR="001037EB">
        <w:t>e</w:t>
      </w:r>
      <w:r w:rsidR="001037EB" w:rsidRPr="001037EB">
        <w:t xml:space="preserve"> status </w:t>
      </w:r>
      <w:r w:rsidR="001037EB">
        <w:t>of</w:t>
      </w:r>
      <w:r w:rsidR="001037EB" w:rsidRPr="001037EB">
        <w:t xml:space="preserve"> a student </w:t>
      </w:r>
      <w:r w:rsidR="001037EB">
        <w:t xml:space="preserve">of </w:t>
      </w:r>
      <w:r w:rsidR="001037EB" w:rsidRPr="001037EB">
        <w:t>the university</w:t>
      </w:r>
      <w:r w:rsidR="001037EB">
        <w:t xml:space="preserve"> (IBSU)</w:t>
      </w:r>
      <w:r>
        <w:t>.</w:t>
      </w:r>
      <w:r>
        <w:t xml:space="preserve"> </w:t>
      </w:r>
    </w:p>
    <w:p w14:paraId="16AA67A1" w14:textId="77777777" w:rsidR="00FE1F70" w:rsidRDefault="00FE1F70" w:rsidP="00FE1F70">
      <w:pPr>
        <w:ind w:left="-5" w:right="0"/>
      </w:pPr>
      <w:r>
        <w:t>1.9. In case of departure to a non-partner university on the student's initiative, the student's status is suspended based on the enrollment certificate submitted by the student.</w:t>
      </w:r>
    </w:p>
    <w:p w14:paraId="377FC00F" w14:textId="7713FA7F" w:rsidR="00FE1F70" w:rsidRDefault="00FE1F70" w:rsidP="00FE1F70">
      <w:pPr>
        <w:ind w:left="-5" w:right="0"/>
      </w:pPr>
      <w:r>
        <w:t>1.10. A student can participate in the exchange program for no more than one bachelor's and one master's</w:t>
      </w:r>
      <w:r w:rsidR="001037EB">
        <w:t xml:space="preserve"> levels</w:t>
      </w:r>
      <w:r>
        <w:t>.</w:t>
      </w:r>
    </w:p>
    <w:p w14:paraId="7860503E" w14:textId="77777777" w:rsidR="001037EB" w:rsidRDefault="001037EB" w:rsidP="001037EB">
      <w:pPr>
        <w:ind w:left="-5" w:right="0"/>
      </w:pPr>
      <w:r>
        <w:t>Article 2. Student selection criteria and procedures</w:t>
      </w:r>
    </w:p>
    <w:p w14:paraId="21F34765" w14:textId="7644F4B4" w:rsidR="001037EB" w:rsidRDefault="001037EB" w:rsidP="001037EB">
      <w:pPr>
        <w:ind w:left="-5" w:right="0"/>
      </w:pPr>
      <w:r>
        <w:t xml:space="preserve">2.1. GPA (Graduate Grade Point Average) is </w:t>
      </w:r>
      <w:r>
        <w:t>considered</w:t>
      </w:r>
      <w:r>
        <w:t xml:space="preserve"> when determining academic performance. A grade point average is a number that represents the average value of the final grades accumulated in courses over time, the cumulative GPA.</w:t>
      </w:r>
    </w:p>
    <w:p w14:paraId="0D06C4B0" w14:textId="31E2C752" w:rsidR="001037EB" w:rsidRDefault="001037EB" w:rsidP="001037EB">
      <w:pPr>
        <w:ind w:left="-5" w:right="0"/>
      </w:pPr>
      <w:r>
        <w:t xml:space="preserve">2.2. International English </w:t>
      </w:r>
      <w:r>
        <w:t xml:space="preserve">Language </w:t>
      </w:r>
      <w:r>
        <w:t>certificate TOEFL (78) IELTS (6.0)</w:t>
      </w:r>
      <w:r>
        <w:t xml:space="preserve"> </w:t>
      </w:r>
      <w:r>
        <w:t>or other internationally recognized B1 or B2 equivalent</w:t>
      </w:r>
      <w:r>
        <w:t xml:space="preserve"> certificates</w:t>
      </w:r>
      <w:r>
        <w:t>; (equivalent to B2 in the case of mandatory evaluation of English language</w:t>
      </w:r>
      <w:r>
        <w:t xml:space="preserve"> proficiency</w:t>
      </w:r>
      <w:r>
        <w:t xml:space="preserve"> in the curriculum of the exchange program)</w:t>
      </w:r>
      <w:r>
        <w:t>,</w:t>
      </w:r>
      <w:r>
        <w:t xml:space="preserve"> </w:t>
      </w:r>
      <w:r>
        <w:t>e</w:t>
      </w:r>
      <w:r>
        <w:t>xcept when the student is studying in an English language program.</w:t>
      </w:r>
    </w:p>
    <w:p w14:paraId="57B442FE" w14:textId="3DD3FAC9" w:rsidR="001037EB" w:rsidRDefault="001037EB" w:rsidP="001037EB">
      <w:pPr>
        <w:ind w:left="-5" w:right="0"/>
      </w:pPr>
      <w:r>
        <w:t xml:space="preserve">2.3. </w:t>
      </w:r>
      <w:r>
        <w:t>E</w:t>
      </w:r>
      <w:r>
        <w:t>quivalent to B2 in the case of master's and doctoral programs;</w:t>
      </w:r>
    </w:p>
    <w:p w14:paraId="1AF626A0" w14:textId="64368FE0" w:rsidR="00FE1F70" w:rsidRDefault="001037EB" w:rsidP="001037EB">
      <w:pPr>
        <w:ind w:left="-5" w:right="0"/>
      </w:pPr>
      <w:r>
        <w:t>2.4. Recommendation of at least 1 professor.</w:t>
      </w:r>
    </w:p>
    <w:p w14:paraId="68220EE4" w14:textId="77777777" w:rsidR="001037EB" w:rsidRDefault="001037EB" w:rsidP="001037EB">
      <w:pPr>
        <w:ind w:left="-5" w:right="0"/>
      </w:pPr>
      <w:r>
        <w:t>2.5. Involvement in various social, educational and/or scientific projects, confirmed by relevant certificates/references.</w:t>
      </w:r>
    </w:p>
    <w:p w14:paraId="1C3A6A6E" w14:textId="7D4E792E" w:rsidR="001037EB" w:rsidRDefault="001037EB" w:rsidP="001037EB">
      <w:pPr>
        <w:ind w:left="-5" w:right="0"/>
      </w:pPr>
      <w:r>
        <w:t>2.6. A cover letter that will be evaluated through an oral interview.</w:t>
      </w:r>
    </w:p>
    <w:p w14:paraId="78904411" w14:textId="77777777" w:rsidR="001037EB" w:rsidRDefault="001037EB" w:rsidP="001037EB">
      <w:pPr>
        <w:ind w:left="-5" w:right="0"/>
      </w:pPr>
      <w:r>
        <w:lastRenderedPageBreak/>
        <w:t>Article 3. Information to be provided by the student wishing to participate in the exchange program</w:t>
      </w:r>
    </w:p>
    <w:p w14:paraId="5190319E" w14:textId="2D1B7594" w:rsidR="001037EB" w:rsidRDefault="001037EB" w:rsidP="001037EB">
      <w:pPr>
        <w:ind w:left="-5" w:right="0"/>
      </w:pPr>
      <w:r>
        <w:t>3.1. To participate in the co</w:t>
      </w:r>
      <w:r>
        <w:t>ntest</w:t>
      </w:r>
      <w:r>
        <w:t>, the interested student must submit the documents to the e-mail address iro@ibsu.edu.ge: 3.1.1. European CV format (in English)</w:t>
      </w:r>
    </w:p>
    <w:p w14:paraId="23CC548A" w14:textId="232B2741" w:rsidR="001037EB" w:rsidRDefault="001037EB" w:rsidP="001037EB">
      <w:pPr>
        <w:ind w:left="-5" w:right="0"/>
      </w:pPr>
      <w:r>
        <w:t xml:space="preserve">3.1.2. Notice of </w:t>
      </w:r>
      <w:r>
        <w:t xml:space="preserve">a </w:t>
      </w:r>
      <w:r>
        <w:t>student status (in English)</w:t>
      </w:r>
    </w:p>
    <w:p w14:paraId="70D3F950" w14:textId="77777777" w:rsidR="001037EB" w:rsidRDefault="001037EB" w:rsidP="001037EB">
      <w:pPr>
        <w:ind w:left="-5" w:right="0"/>
      </w:pPr>
      <w:r>
        <w:t>3.1.3. Mark Sheet (in English)</w:t>
      </w:r>
    </w:p>
    <w:p w14:paraId="0F106156" w14:textId="18F34F72" w:rsidR="001037EB" w:rsidRDefault="001037EB" w:rsidP="001037EB">
      <w:pPr>
        <w:ind w:left="-5" w:right="0"/>
      </w:pPr>
      <w:r>
        <w:t xml:space="preserve">3.1.4. </w:t>
      </w:r>
      <w:r>
        <w:t>M</w:t>
      </w:r>
      <w:r>
        <w:t>otivation letter (in English)</w:t>
      </w:r>
    </w:p>
    <w:p w14:paraId="0272C9AE" w14:textId="03A89F7D" w:rsidR="001037EB" w:rsidRDefault="001037EB" w:rsidP="001037EB">
      <w:pPr>
        <w:ind w:left="-5" w:right="0"/>
      </w:pPr>
      <w:r>
        <w:t>3.1.5. English language</w:t>
      </w:r>
      <w:r>
        <w:t xml:space="preserve"> proficiency</w:t>
      </w:r>
      <w:r w:rsidRPr="001037EB">
        <w:t xml:space="preserve"> </w:t>
      </w:r>
      <w:r>
        <w:t>certificate</w:t>
      </w:r>
    </w:p>
    <w:p w14:paraId="468BD20C" w14:textId="3BDFDF23" w:rsidR="001037EB" w:rsidRDefault="001037EB" w:rsidP="001037EB">
      <w:pPr>
        <w:ind w:left="-5" w:right="0"/>
      </w:pPr>
      <w:r>
        <w:t>3.1.6. Copy of passport.</w:t>
      </w:r>
    </w:p>
    <w:p w14:paraId="6619DA5A" w14:textId="77777777" w:rsidR="001037EB" w:rsidRDefault="001037EB" w:rsidP="001037EB">
      <w:pPr>
        <w:ind w:left="-5" w:right="0"/>
      </w:pPr>
      <w:r>
        <w:t>Article 4. Evaluation criteria of candidate students.</w:t>
      </w:r>
    </w:p>
    <w:p w14:paraId="08DA8B63" w14:textId="5A2D7160" w:rsidR="001037EB" w:rsidRDefault="001037EB" w:rsidP="001037EB">
      <w:pPr>
        <w:ind w:left="-5" w:right="0"/>
      </w:pPr>
      <w:r>
        <w:t xml:space="preserve">4.1. The protocol of the relevant commission is drawn up </w:t>
      </w:r>
      <w:r>
        <w:t xml:space="preserve">based </w:t>
      </w:r>
      <w:r>
        <w:t>on the information about the students selected for the exchange program, which is submitted to the rector of the university for the purpose of issuing an order.</w:t>
      </w:r>
    </w:p>
    <w:p w14:paraId="4321FC87" w14:textId="4B2B4910" w:rsidR="001037EB" w:rsidRDefault="001037EB" w:rsidP="001037EB">
      <w:pPr>
        <w:ind w:left="-5" w:right="0"/>
      </w:pPr>
      <w:r>
        <w:t xml:space="preserve">4.2. The selection commission consists of the international relations service, the vice-rector </w:t>
      </w:r>
      <w:r>
        <w:t>for</w:t>
      </w:r>
      <w:r>
        <w:t xml:space="preserve"> </w:t>
      </w:r>
      <w:r>
        <w:t>education</w:t>
      </w:r>
      <w:r>
        <w:t xml:space="preserve">, </w:t>
      </w:r>
      <w:r w:rsidRPr="001037EB">
        <w:t xml:space="preserve">the vice-rector for </w:t>
      </w:r>
      <w:r>
        <w:t xml:space="preserve">research and the vice-rector </w:t>
      </w:r>
      <w:r>
        <w:t>for</w:t>
      </w:r>
      <w:r>
        <w:t xml:space="preserve"> the administrative </w:t>
      </w:r>
      <w:r>
        <w:t>affairs</w:t>
      </w:r>
      <w:r>
        <w:t>.</w:t>
      </w:r>
    </w:p>
    <w:p w14:paraId="09E19D4A" w14:textId="522ABF91" w:rsidR="001037EB" w:rsidRDefault="001037EB" w:rsidP="001037EB">
      <w:pPr>
        <w:ind w:left="-5" w:right="0"/>
      </w:pPr>
      <w:r>
        <w:t xml:space="preserve">4.3. Information about the </w:t>
      </w:r>
      <w:r>
        <w:t>selected</w:t>
      </w:r>
      <w:r>
        <w:t xml:space="preserve"> students is public and its </w:t>
      </w:r>
      <w:r w:rsidR="00941ACB">
        <w:t>distributed</w:t>
      </w:r>
      <w:r>
        <w:t xml:space="preserve"> through the </w:t>
      </w:r>
      <w:r w:rsidR="00941ACB">
        <w:t xml:space="preserve">relevant </w:t>
      </w:r>
      <w:r>
        <w:t>information sources approved by this regulation.</w:t>
      </w:r>
    </w:p>
    <w:p w14:paraId="1680182F" w14:textId="2F5BD5FB" w:rsidR="001037EB" w:rsidRDefault="001037EB" w:rsidP="001037EB">
      <w:pPr>
        <w:ind w:left="-5" w:right="0"/>
      </w:pPr>
      <w:r>
        <w:t>4.4. Student assessment will be carried out:</w:t>
      </w:r>
    </w:p>
    <w:p w14:paraId="2C7D8709" w14:textId="547DCB5A" w:rsidR="00FE7B88" w:rsidRDefault="00FE7B88">
      <w:pPr>
        <w:spacing w:after="0" w:line="259" w:lineRule="auto"/>
        <w:ind w:left="775" w:right="0" w:firstLine="0"/>
        <w:jc w:val="center"/>
      </w:pPr>
    </w:p>
    <w:p w14:paraId="687C0F8B" w14:textId="181E74A4" w:rsidR="001037EB" w:rsidRDefault="00941ACB">
      <w:pPr>
        <w:spacing w:after="0"/>
        <w:ind w:left="-5" w:right="0"/>
      </w:pPr>
      <w:r w:rsidRPr="00941ACB">
        <w:t>4.4.1. High academic performance - maximum number of points 0-10</w:t>
      </w:r>
    </w:p>
    <w:p w14:paraId="2DF4CD40" w14:textId="18B103A5" w:rsidR="00941ACB" w:rsidRDefault="00941ACB" w:rsidP="00941ACB">
      <w:pPr>
        <w:spacing w:after="0" w:line="259" w:lineRule="auto"/>
        <w:ind w:left="0" w:right="0" w:firstLine="0"/>
        <w:jc w:val="left"/>
      </w:pPr>
      <w:r>
        <w:t>10-9 points</w:t>
      </w:r>
      <w:r>
        <w:t>:</w:t>
      </w:r>
      <w:r>
        <w:t xml:space="preserve"> the sum of the student's average points </w:t>
      </w:r>
      <w:r>
        <w:t xml:space="preserve">is </w:t>
      </w:r>
      <w:r>
        <w:t>(91-100)</w:t>
      </w:r>
    </w:p>
    <w:p w14:paraId="2372CB25" w14:textId="5D61E77C" w:rsidR="00941ACB" w:rsidRDefault="00941ACB" w:rsidP="00941ACB">
      <w:pPr>
        <w:spacing w:after="0" w:line="259" w:lineRule="auto"/>
        <w:ind w:left="0" w:right="0" w:firstLine="0"/>
        <w:jc w:val="left"/>
      </w:pPr>
      <w:r>
        <w:t>8-7 points</w:t>
      </w:r>
      <w:r>
        <w:t>:</w:t>
      </w:r>
      <w:r>
        <w:t xml:space="preserve"> the sum of the student's average points </w:t>
      </w:r>
      <w:r>
        <w:t xml:space="preserve">is </w:t>
      </w:r>
      <w:r>
        <w:t>(81-90)</w:t>
      </w:r>
    </w:p>
    <w:p w14:paraId="05E81B71" w14:textId="49C7F6FE" w:rsidR="00941ACB" w:rsidRDefault="00941ACB" w:rsidP="00941ACB">
      <w:pPr>
        <w:spacing w:after="0" w:line="259" w:lineRule="auto"/>
        <w:ind w:left="0" w:right="0" w:firstLine="0"/>
        <w:jc w:val="left"/>
      </w:pPr>
      <w:r>
        <w:t>6-5 points</w:t>
      </w:r>
      <w:r>
        <w:t>:</w:t>
      </w:r>
      <w:r>
        <w:t xml:space="preserve"> the sum of the student's average points </w:t>
      </w:r>
      <w:r>
        <w:t xml:space="preserve">is </w:t>
      </w:r>
      <w:r>
        <w:t>(79-80)</w:t>
      </w:r>
    </w:p>
    <w:p w14:paraId="34717F17" w14:textId="40A052B1" w:rsidR="00941ACB" w:rsidRDefault="00941ACB" w:rsidP="00941ACB">
      <w:pPr>
        <w:spacing w:after="0" w:line="259" w:lineRule="auto"/>
        <w:ind w:left="0" w:right="0" w:firstLine="0"/>
        <w:jc w:val="left"/>
      </w:pPr>
      <w:r>
        <w:t>4-3 points</w:t>
      </w:r>
      <w:r>
        <w:t>:</w:t>
      </w:r>
      <w:r>
        <w:t xml:space="preserve"> the sum of the student's average points is</w:t>
      </w:r>
      <w:r>
        <w:t xml:space="preserve"> </w:t>
      </w:r>
      <w:r>
        <w:t>(78-71)</w:t>
      </w:r>
    </w:p>
    <w:p w14:paraId="0C6AA601" w14:textId="6191142F" w:rsidR="00FE7B88" w:rsidRDefault="00941ACB" w:rsidP="00941ACB">
      <w:pPr>
        <w:spacing w:after="0" w:line="259" w:lineRule="auto"/>
        <w:ind w:left="0" w:right="0" w:firstLine="0"/>
        <w:jc w:val="left"/>
      </w:pPr>
      <w:r>
        <w:t>2-1 points</w:t>
      </w:r>
      <w:r>
        <w:t>:</w:t>
      </w:r>
      <w:r>
        <w:t xml:space="preserve"> A student's grade point average is 70 or less</w:t>
      </w:r>
    </w:p>
    <w:p w14:paraId="75FB44ED" w14:textId="76FB35A1" w:rsidR="00FE7B88" w:rsidRDefault="00FE7B88">
      <w:pPr>
        <w:spacing w:after="0" w:line="259" w:lineRule="auto"/>
        <w:ind w:left="283" w:right="0" w:firstLine="0"/>
        <w:jc w:val="left"/>
      </w:pPr>
    </w:p>
    <w:p w14:paraId="53F54EF2" w14:textId="003F433D" w:rsidR="00207B88" w:rsidRDefault="00207B88">
      <w:pPr>
        <w:spacing w:after="41" w:line="239" w:lineRule="auto"/>
        <w:ind w:left="-15" w:right="71" w:firstLine="0"/>
        <w:jc w:val="left"/>
      </w:pPr>
      <w:r w:rsidRPr="00207B88">
        <w:t xml:space="preserve">4.4.2. Motivation - the maximum number of points </w:t>
      </w:r>
      <w:r>
        <w:t xml:space="preserve">is </w:t>
      </w:r>
      <w:r w:rsidRPr="00207B88">
        <w:t>0-10</w:t>
      </w:r>
      <w:r>
        <w:t>.</w:t>
      </w:r>
      <w:r w:rsidRPr="00207B88">
        <w:t xml:space="preserve"> This criterion evaluates the effectiveness of the contestant in the current profession, as well as the potential of future career and academic development. During the assessment, the members of the co</w:t>
      </w:r>
      <w:r>
        <w:t>ntest</w:t>
      </w:r>
      <w:r w:rsidRPr="00207B88">
        <w:t xml:space="preserve"> commission </w:t>
      </w:r>
      <w:r w:rsidRPr="00207B88">
        <w:t>consider</w:t>
      </w:r>
      <w:r w:rsidRPr="00207B88">
        <w:t xml:space="preserve"> how much the contestant managed to:</w:t>
      </w:r>
    </w:p>
    <w:p w14:paraId="3DABEF86" w14:textId="0810B4C9" w:rsidR="00207B88" w:rsidRDefault="00207B88">
      <w:pPr>
        <w:spacing w:after="41" w:line="239" w:lineRule="auto"/>
        <w:ind w:left="-15" w:right="71" w:firstLine="0"/>
        <w:jc w:val="left"/>
      </w:pPr>
    </w:p>
    <w:p w14:paraId="3D82DAA3" w14:textId="7B1E3FC1" w:rsidR="00207B88" w:rsidRDefault="00207B88" w:rsidP="00207B88">
      <w:pPr>
        <w:spacing w:after="41" w:line="239" w:lineRule="auto"/>
        <w:ind w:left="-15" w:right="71" w:firstLine="0"/>
        <w:jc w:val="left"/>
      </w:pPr>
      <w:r>
        <w:t xml:space="preserve">• </w:t>
      </w:r>
      <w:r>
        <w:t>Justify his/her</w:t>
      </w:r>
      <w:r>
        <w:t xml:space="preserve"> efficiency, active involvement in the selected field - maximum score: 4</w:t>
      </w:r>
    </w:p>
    <w:p w14:paraId="600A82CB" w14:textId="2D378F84" w:rsidR="00207B88" w:rsidRDefault="00207B88" w:rsidP="00207B88">
      <w:pPr>
        <w:spacing w:after="41" w:line="239" w:lineRule="auto"/>
        <w:ind w:left="-15" w:right="71" w:firstLine="0"/>
        <w:jc w:val="left"/>
      </w:pPr>
      <w:r>
        <w:t xml:space="preserve">• </w:t>
      </w:r>
      <w:r w:rsidRPr="00207B88">
        <w:t>Indications of initiative and goal-</w:t>
      </w:r>
      <w:proofErr w:type="spellStart"/>
      <w:r w:rsidRPr="00207B88">
        <w:t>orientedness</w:t>
      </w:r>
      <w:proofErr w:type="spellEnd"/>
      <w:r w:rsidRPr="00207B88">
        <w:t xml:space="preserve"> in tackling professional challenges</w:t>
      </w:r>
      <w:r>
        <w:t>; - Maximum score: 3</w:t>
      </w:r>
    </w:p>
    <w:p w14:paraId="03F432FA" w14:textId="1DA1B02D" w:rsidR="00207B88" w:rsidRDefault="00207B88" w:rsidP="00207B88">
      <w:pPr>
        <w:spacing w:after="41" w:line="239" w:lineRule="auto"/>
        <w:ind w:left="-15" w:right="71" w:firstLine="0"/>
        <w:jc w:val="left"/>
      </w:pPr>
      <w:r>
        <w:t>• Concrete justification of the importance of the selected university/major/academic program for both his</w:t>
      </w:r>
      <w:r>
        <w:t>/her</w:t>
      </w:r>
      <w:r>
        <w:t xml:space="preserve"> personal career and the development of the selected field in the country. - Maximum score: 3</w:t>
      </w:r>
    </w:p>
    <w:p w14:paraId="00CFAA26" w14:textId="77777777" w:rsidR="00207B88" w:rsidRDefault="00207B88">
      <w:pPr>
        <w:spacing w:after="41" w:line="239" w:lineRule="auto"/>
        <w:ind w:left="-15" w:right="71" w:firstLine="0"/>
        <w:jc w:val="left"/>
      </w:pPr>
    </w:p>
    <w:p w14:paraId="147D32F1" w14:textId="3566022A" w:rsidR="00FE7B88" w:rsidRDefault="00A0614A">
      <w:pPr>
        <w:ind w:left="-5" w:right="0"/>
      </w:pPr>
      <w:r>
        <w:t>4.4.3.</w:t>
      </w:r>
      <w:r>
        <w:rPr>
          <w:rFonts w:ascii="Arial" w:eastAsia="Arial" w:hAnsi="Arial" w:cs="Arial"/>
        </w:rPr>
        <w:t xml:space="preserve"> </w:t>
      </w:r>
      <w:r w:rsidR="00207B88" w:rsidRPr="00207B88">
        <w:t>Oral presentation, language competence 0-10</w:t>
      </w:r>
    </w:p>
    <w:tbl>
      <w:tblPr>
        <w:tblStyle w:val="TableGrid"/>
        <w:tblW w:w="10060" w:type="dxa"/>
        <w:tblInd w:w="5" w:type="dxa"/>
        <w:tblCellMar>
          <w:top w:w="73" w:type="dxa"/>
          <w:left w:w="110" w:type="dxa"/>
          <w:bottom w:w="0" w:type="dxa"/>
          <w:right w:w="46" w:type="dxa"/>
        </w:tblCellMar>
        <w:tblLook w:val="04A0" w:firstRow="1" w:lastRow="0" w:firstColumn="1" w:lastColumn="0" w:noHBand="0" w:noVBand="1"/>
      </w:tblPr>
      <w:tblGrid>
        <w:gridCol w:w="1820"/>
        <w:gridCol w:w="8240"/>
      </w:tblGrid>
      <w:tr w:rsidR="00FE7B88" w14:paraId="0C9E9D21" w14:textId="77777777">
        <w:trPr>
          <w:trHeight w:val="2223"/>
        </w:trPr>
        <w:tc>
          <w:tcPr>
            <w:tcW w:w="1820" w:type="dxa"/>
            <w:tcBorders>
              <w:top w:val="single" w:sz="4" w:space="0" w:color="A6A6A6"/>
              <w:left w:val="single" w:sz="4" w:space="0" w:color="A6A6A6"/>
              <w:bottom w:val="single" w:sz="4" w:space="0" w:color="A6A6A6"/>
              <w:right w:val="single" w:sz="4" w:space="0" w:color="A6A6A6"/>
            </w:tcBorders>
          </w:tcPr>
          <w:p w14:paraId="22180837" w14:textId="23C24F12" w:rsidR="00FE7B88" w:rsidRDefault="00A0614A">
            <w:pPr>
              <w:spacing w:after="0" w:line="259" w:lineRule="auto"/>
              <w:ind w:left="0" w:right="0" w:firstLine="0"/>
              <w:jc w:val="left"/>
            </w:pPr>
            <w:r>
              <w:lastRenderedPageBreak/>
              <w:t xml:space="preserve">10-9 </w:t>
            </w:r>
            <w:r w:rsidR="00207B88">
              <w:t>points</w:t>
            </w:r>
          </w:p>
        </w:tc>
        <w:tc>
          <w:tcPr>
            <w:tcW w:w="8240" w:type="dxa"/>
            <w:tcBorders>
              <w:top w:val="single" w:sz="4" w:space="0" w:color="A6A6A6"/>
              <w:left w:val="single" w:sz="4" w:space="0" w:color="A6A6A6"/>
              <w:bottom w:val="single" w:sz="4" w:space="0" w:color="A6A6A6"/>
              <w:right w:val="single" w:sz="4" w:space="0" w:color="A6A6A6"/>
            </w:tcBorders>
          </w:tcPr>
          <w:p w14:paraId="0EFFF675" w14:textId="18050463" w:rsidR="00FE7B88" w:rsidRDefault="00207B88">
            <w:pPr>
              <w:spacing w:after="0" w:line="259" w:lineRule="auto"/>
              <w:ind w:left="0" w:right="57" w:firstLine="0"/>
            </w:pPr>
            <w:r w:rsidRPr="00207B88">
              <w:t xml:space="preserve">The candidate has good pronunciation, a wide vocabulary that has been carefully chosen, accuracy, and a variety of grammatical structures. The applicant also describes the topic of the conversation in detail, is constantly aware of the audience, and </w:t>
            </w:r>
            <w:r w:rsidRPr="00207B88">
              <w:t>tries</w:t>
            </w:r>
            <w:r w:rsidRPr="00207B88">
              <w:t xml:space="preserve"> to maintain eye contact. All of these qualities make the applicant's speech confident, logical, and coherent.</w:t>
            </w:r>
          </w:p>
        </w:tc>
      </w:tr>
      <w:tr w:rsidR="00FE7B88" w14:paraId="35F87E05" w14:textId="77777777">
        <w:trPr>
          <w:trHeight w:val="2223"/>
        </w:trPr>
        <w:tc>
          <w:tcPr>
            <w:tcW w:w="1820" w:type="dxa"/>
            <w:tcBorders>
              <w:top w:val="single" w:sz="4" w:space="0" w:color="A6A6A6"/>
              <w:left w:val="single" w:sz="4" w:space="0" w:color="A6A6A6"/>
              <w:bottom w:val="single" w:sz="4" w:space="0" w:color="A6A6A6"/>
              <w:right w:val="single" w:sz="4" w:space="0" w:color="A6A6A6"/>
            </w:tcBorders>
          </w:tcPr>
          <w:p w14:paraId="3BFEBE6D" w14:textId="1940A4F6" w:rsidR="00FE7B88" w:rsidRDefault="00A0614A">
            <w:pPr>
              <w:spacing w:after="0" w:line="259" w:lineRule="auto"/>
              <w:ind w:left="0" w:right="0" w:firstLine="0"/>
              <w:jc w:val="left"/>
            </w:pPr>
            <w:r>
              <w:t xml:space="preserve">8-7 </w:t>
            </w:r>
            <w:r w:rsidR="00207B88" w:rsidRPr="00207B88">
              <w:t>points</w:t>
            </w:r>
          </w:p>
        </w:tc>
        <w:tc>
          <w:tcPr>
            <w:tcW w:w="8240" w:type="dxa"/>
            <w:tcBorders>
              <w:top w:val="single" w:sz="4" w:space="0" w:color="A6A6A6"/>
              <w:left w:val="single" w:sz="4" w:space="0" w:color="A6A6A6"/>
              <w:bottom w:val="single" w:sz="4" w:space="0" w:color="A6A6A6"/>
              <w:right w:val="single" w:sz="4" w:space="0" w:color="A6A6A6"/>
            </w:tcBorders>
          </w:tcPr>
          <w:p w14:paraId="36DC215B" w14:textId="03C91EE0" w:rsidR="00FE7B88" w:rsidRDefault="00207B88">
            <w:pPr>
              <w:spacing w:after="0" w:line="259" w:lineRule="auto"/>
              <w:ind w:left="0" w:right="56" w:firstLine="0"/>
            </w:pPr>
            <w:r w:rsidRPr="00207B88">
              <w:t>The applicant speaks more or less confidently, logically and coherently; rarely searches for words; A small number of words are unintelligible; has a normal pronunciation; well-chosen vocabulary; minor grammatical inaccuracies; The topic of conversation is understandable and clear, mainly focused on the audience; In most cases</w:t>
            </w:r>
            <w:r w:rsidR="00F955D5">
              <w:t xml:space="preserve"> </w:t>
            </w:r>
            <w:r w:rsidRPr="00207B88">
              <w:t>is able to maintain eye contact during the conversation.</w:t>
            </w:r>
          </w:p>
        </w:tc>
      </w:tr>
      <w:tr w:rsidR="00FE7B88" w14:paraId="793A883E" w14:textId="77777777">
        <w:trPr>
          <w:trHeight w:val="2540"/>
        </w:trPr>
        <w:tc>
          <w:tcPr>
            <w:tcW w:w="1820" w:type="dxa"/>
            <w:tcBorders>
              <w:top w:val="single" w:sz="4" w:space="0" w:color="A6A6A6"/>
              <w:left w:val="single" w:sz="4" w:space="0" w:color="A6A6A6"/>
              <w:bottom w:val="single" w:sz="4" w:space="0" w:color="A6A6A6"/>
              <w:right w:val="single" w:sz="4" w:space="0" w:color="A6A6A6"/>
            </w:tcBorders>
          </w:tcPr>
          <w:p w14:paraId="1907571E" w14:textId="65218973" w:rsidR="00FE7B88" w:rsidRDefault="00A0614A">
            <w:pPr>
              <w:spacing w:after="0" w:line="259" w:lineRule="auto"/>
              <w:ind w:left="0" w:right="0" w:firstLine="0"/>
              <w:jc w:val="left"/>
            </w:pPr>
            <w:r>
              <w:t xml:space="preserve">6-5 </w:t>
            </w:r>
            <w:r w:rsidR="00207B88" w:rsidRPr="00207B88">
              <w:t>points</w:t>
            </w:r>
          </w:p>
        </w:tc>
        <w:tc>
          <w:tcPr>
            <w:tcW w:w="8240" w:type="dxa"/>
            <w:tcBorders>
              <w:top w:val="single" w:sz="4" w:space="0" w:color="A6A6A6"/>
              <w:left w:val="single" w:sz="4" w:space="0" w:color="A6A6A6"/>
              <w:bottom w:val="single" w:sz="4" w:space="0" w:color="A6A6A6"/>
              <w:right w:val="single" w:sz="4" w:space="0" w:color="A6A6A6"/>
            </w:tcBorders>
          </w:tcPr>
          <w:p w14:paraId="49A5D072" w14:textId="24F0E671" w:rsidR="00FE7B88" w:rsidRDefault="00F955D5">
            <w:pPr>
              <w:spacing w:after="0" w:line="259" w:lineRule="auto"/>
              <w:ind w:left="0" w:right="58" w:firstLine="0"/>
            </w:pPr>
            <w:r w:rsidRPr="00F955D5">
              <w:t>The applicant's speech is mostly logical, but in some cases incoherent, hesitates when speaking, in some cases the words are not clear or unintelligible, although the pronunciation is mostly adequate, there is no communication problem due to the pronunciation; conveys the main idea intelligibly with minor grammatical inaccuracies, the vocabulary is relevant to the topic of conversation, the topic of conversation is understandable; Has several successful attempts to make eye contact with the audience.</w:t>
            </w:r>
          </w:p>
        </w:tc>
      </w:tr>
      <w:tr w:rsidR="00FE7B88" w14:paraId="621AD7F1" w14:textId="77777777">
        <w:trPr>
          <w:trHeight w:val="2540"/>
        </w:trPr>
        <w:tc>
          <w:tcPr>
            <w:tcW w:w="1820" w:type="dxa"/>
            <w:tcBorders>
              <w:top w:val="single" w:sz="4" w:space="0" w:color="A6A6A6"/>
              <w:left w:val="single" w:sz="4" w:space="0" w:color="A6A6A6"/>
              <w:bottom w:val="single" w:sz="4" w:space="0" w:color="A6A6A6"/>
              <w:right w:val="single" w:sz="4" w:space="0" w:color="A6A6A6"/>
            </w:tcBorders>
          </w:tcPr>
          <w:p w14:paraId="5589A2C4" w14:textId="135FDD7C" w:rsidR="00FE7B88" w:rsidRDefault="00A0614A">
            <w:pPr>
              <w:spacing w:after="0" w:line="259" w:lineRule="auto"/>
              <w:ind w:left="0" w:right="0" w:firstLine="0"/>
              <w:jc w:val="left"/>
            </w:pPr>
            <w:r>
              <w:t xml:space="preserve">4-3 </w:t>
            </w:r>
            <w:r w:rsidR="00207B88" w:rsidRPr="00207B88">
              <w:t>points</w:t>
            </w:r>
          </w:p>
        </w:tc>
        <w:tc>
          <w:tcPr>
            <w:tcW w:w="8240" w:type="dxa"/>
            <w:tcBorders>
              <w:top w:val="single" w:sz="4" w:space="0" w:color="A6A6A6"/>
              <w:left w:val="single" w:sz="4" w:space="0" w:color="A6A6A6"/>
              <w:bottom w:val="single" w:sz="4" w:space="0" w:color="A6A6A6"/>
              <w:right w:val="single" w:sz="4" w:space="0" w:color="A6A6A6"/>
            </w:tcBorders>
          </w:tcPr>
          <w:p w14:paraId="1C3616F1" w14:textId="3648A349" w:rsidR="00FE7B88" w:rsidRDefault="00F955D5">
            <w:pPr>
              <w:spacing w:after="0" w:line="259" w:lineRule="auto"/>
              <w:ind w:left="0" w:right="58" w:firstLine="0"/>
            </w:pPr>
            <w:r w:rsidRPr="00F955D5">
              <w:t xml:space="preserve">The applicant's speech is incoherent, hesitates when speaking, searches for words, the pronunciation is understandable, but in </w:t>
            </w:r>
            <w:r>
              <w:t>several</w:t>
            </w:r>
            <w:r w:rsidRPr="00F955D5">
              <w:t xml:space="preserve"> cases there was a communication problem due to the pronunciation, conveys the main idea intelligibly, but makes grammatical mistakes when speaking, rarely uses relevant vocabulary in relation to the topic of conversation, the description lacks some precision and lacks some critical detail</w:t>
            </w:r>
            <w:r>
              <w:t>s</w:t>
            </w:r>
            <w:r w:rsidRPr="00F955D5">
              <w:t xml:space="preserve"> that makes it difficult to understand; Has difficulty/doesn't try to make eye contact with the audience.</w:t>
            </w:r>
          </w:p>
        </w:tc>
      </w:tr>
      <w:tr w:rsidR="00FE7B88" w14:paraId="31AF06DE" w14:textId="77777777">
        <w:trPr>
          <w:trHeight w:val="1906"/>
        </w:trPr>
        <w:tc>
          <w:tcPr>
            <w:tcW w:w="1820" w:type="dxa"/>
            <w:tcBorders>
              <w:top w:val="single" w:sz="4" w:space="0" w:color="A6A6A6"/>
              <w:left w:val="single" w:sz="4" w:space="0" w:color="A6A6A6"/>
              <w:bottom w:val="single" w:sz="4" w:space="0" w:color="A6A6A6"/>
              <w:right w:val="single" w:sz="4" w:space="0" w:color="A6A6A6"/>
            </w:tcBorders>
          </w:tcPr>
          <w:p w14:paraId="3ADB21D3" w14:textId="475C80B4" w:rsidR="00FE7B88" w:rsidRDefault="00A0614A">
            <w:pPr>
              <w:spacing w:after="0" w:line="259" w:lineRule="auto"/>
              <w:ind w:left="0" w:right="0" w:firstLine="0"/>
              <w:jc w:val="left"/>
            </w:pPr>
            <w:r>
              <w:t xml:space="preserve">2-1 </w:t>
            </w:r>
            <w:r w:rsidR="00207B88" w:rsidRPr="00207B88">
              <w:t>points</w:t>
            </w:r>
          </w:p>
        </w:tc>
        <w:tc>
          <w:tcPr>
            <w:tcW w:w="8240" w:type="dxa"/>
            <w:tcBorders>
              <w:top w:val="single" w:sz="4" w:space="0" w:color="A6A6A6"/>
              <w:left w:val="single" w:sz="4" w:space="0" w:color="A6A6A6"/>
              <w:bottom w:val="single" w:sz="4" w:space="0" w:color="A6A6A6"/>
              <w:right w:val="single" w:sz="4" w:space="0" w:color="A6A6A6"/>
            </w:tcBorders>
          </w:tcPr>
          <w:p w14:paraId="03AD7D5D" w14:textId="04BF8732" w:rsidR="00FE7B88" w:rsidRDefault="00F955D5">
            <w:pPr>
              <w:spacing w:after="0" w:line="259" w:lineRule="auto"/>
              <w:ind w:left="0" w:right="57" w:firstLine="0"/>
            </w:pPr>
            <w:r w:rsidRPr="00F955D5">
              <w:t xml:space="preserve">The applicant's speech is mostly unintelligible, speaks slowly, quietly, with short spoken phrases, has difficulty in pronunciation, makes serious grammatical mistakes while speaking, does not use relevant vocabulary in relation to the subject of the conversation, which makes it impossible to understand the conversation in many cases. Does not </w:t>
            </w:r>
            <w:r>
              <w:t>keep an</w:t>
            </w:r>
            <w:r w:rsidRPr="00F955D5">
              <w:t xml:space="preserve"> eye contact with the audience.</w:t>
            </w:r>
          </w:p>
        </w:tc>
      </w:tr>
    </w:tbl>
    <w:p w14:paraId="22A74153" w14:textId="77777777" w:rsidR="00FE7B88" w:rsidRDefault="00A0614A">
      <w:pPr>
        <w:spacing w:after="0" w:line="259" w:lineRule="auto"/>
        <w:ind w:left="0" w:right="0" w:firstLine="0"/>
        <w:jc w:val="left"/>
      </w:pPr>
      <w:r>
        <w:t xml:space="preserve"> </w:t>
      </w:r>
    </w:p>
    <w:p w14:paraId="539C7CC7" w14:textId="73AD3A03" w:rsidR="00F955D5" w:rsidRDefault="00F955D5">
      <w:pPr>
        <w:spacing w:after="0"/>
        <w:ind w:left="-5" w:right="0"/>
      </w:pPr>
      <w:r w:rsidRPr="00F955D5">
        <w:t>Involvement in research activity / IBSU student conference10 / conference organized by another university 5.</w:t>
      </w:r>
    </w:p>
    <w:p w14:paraId="61EF424F" w14:textId="77777777" w:rsidR="00FE7B88" w:rsidRDefault="00A0614A">
      <w:pPr>
        <w:spacing w:after="0" w:line="259" w:lineRule="auto"/>
        <w:ind w:left="0" w:right="0" w:firstLine="0"/>
        <w:jc w:val="left"/>
      </w:pPr>
      <w:bookmarkStart w:id="0" w:name="_GoBack"/>
      <w:bookmarkEnd w:id="0"/>
      <w:r>
        <w:t xml:space="preserve"> </w:t>
      </w:r>
    </w:p>
    <w:sectPr w:rsidR="00FE7B88">
      <w:footerReference w:type="even" r:id="rId7"/>
      <w:footerReference w:type="default" r:id="rId8"/>
      <w:footerReference w:type="first" r:id="rId9"/>
      <w:pgSz w:w="11904" w:h="16838"/>
      <w:pgMar w:top="1191" w:right="1123" w:bottom="141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FAB8" w14:textId="77777777" w:rsidR="00A0614A" w:rsidRDefault="00A0614A">
      <w:pPr>
        <w:spacing w:after="0" w:line="240" w:lineRule="auto"/>
      </w:pPr>
      <w:r>
        <w:separator/>
      </w:r>
    </w:p>
  </w:endnote>
  <w:endnote w:type="continuationSeparator" w:id="0">
    <w:p w14:paraId="18A77244" w14:textId="77777777" w:rsidR="00A0614A" w:rsidRDefault="00A0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A403" w14:textId="77777777" w:rsidR="00FE7B88" w:rsidRDefault="00A0614A">
    <w:pPr>
      <w:tabs>
        <w:tab w:val="center" w:pos="9282"/>
        <w:tab w:val="right" w:pos="9647"/>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0CF1FEE7" w14:textId="77777777" w:rsidR="00FE7B88" w:rsidRDefault="00A0614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5201" w14:textId="77777777" w:rsidR="00FE7B88" w:rsidRDefault="00A0614A">
    <w:pPr>
      <w:tabs>
        <w:tab w:val="center" w:pos="9282"/>
        <w:tab w:val="right" w:pos="9647"/>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4207E15B" w14:textId="77777777" w:rsidR="00FE7B88" w:rsidRDefault="00A0614A">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83EA" w14:textId="77777777" w:rsidR="00FE7B88" w:rsidRDefault="00FE7B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0DC86" w14:textId="77777777" w:rsidR="00A0614A" w:rsidRDefault="00A0614A">
      <w:pPr>
        <w:spacing w:after="0" w:line="240" w:lineRule="auto"/>
      </w:pPr>
      <w:r>
        <w:separator/>
      </w:r>
    </w:p>
  </w:footnote>
  <w:footnote w:type="continuationSeparator" w:id="0">
    <w:p w14:paraId="72E6CD9B" w14:textId="77777777" w:rsidR="00A0614A" w:rsidRDefault="00A0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866"/>
    <w:multiLevelType w:val="hybridMultilevel"/>
    <w:tmpl w:val="D188F2B0"/>
    <w:lvl w:ilvl="0" w:tplc="087013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EF1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1CFF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E47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0AD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A7A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8AA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C94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69C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88"/>
    <w:rsid w:val="001037EB"/>
    <w:rsid w:val="00207B88"/>
    <w:rsid w:val="00941ACB"/>
    <w:rsid w:val="00A0614A"/>
    <w:rsid w:val="00E112AF"/>
    <w:rsid w:val="00F955D5"/>
    <w:rsid w:val="00FE1F70"/>
    <w:rsid w:val="00FE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F71F"/>
  <w15:docId w15:val="{A7802657-8BB0-4CB8-ABF1-8BF7EFCC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48" w:lineRule="auto"/>
      <w:ind w:left="10" w:right="7" w:hanging="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2024-08-14T14:59:00Z</dcterms:created>
  <dcterms:modified xsi:type="dcterms:W3CDTF">2024-08-15T16:10:00Z</dcterms:modified>
</cp:coreProperties>
</file>